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DB0" w:rsidRDefault="00572DB0" w:rsidP="00572DB0">
      <w:pPr>
        <w:rPr>
          <w:i/>
          <w:iCs/>
        </w:rPr>
      </w:pPr>
    </w:p>
    <w:p w:rsidR="00572DB0" w:rsidRDefault="00572DB0" w:rsidP="00572DB0">
      <w:pPr>
        <w:jc w:val="both"/>
        <w:rPr>
          <w:i/>
          <w:iCs/>
        </w:rPr>
      </w:pPr>
      <w:r>
        <w:rPr>
          <w:i/>
          <w:noProof/>
        </w:rPr>
        <w:drawing>
          <wp:inline distT="0" distB="0" distL="0" distR="0">
            <wp:extent cx="1864587" cy="1966595"/>
            <wp:effectExtent l="2540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1865932" cy="1968013"/>
                    </a:xfrm>
                    <a:prstGeom prst="rect">
                      <a:avLst/>
                    </a:prstGeom>
                    <a:noFill/>
                    <a:ln w="9525">
                      <a:noFill/>
                      <a:miter lim="800000"/>
                      <a:headEnd/>
                      <a:tailEnd/>
                    </a:ln>
                  </pic:spPr>
                </pic:pic>
              </a:graphicData>
            </a:graphic>
          </wp:inline>
        </w:drawing>
      </w:r>
    </w:p>
    <w:p w:rsidR="00572DB0" w:rsidRDefault="00572DB0" w:rsidP="00572DB0">
      <w:pPr>
        <w:rPr>
          <w:i/>
          <w:iCs/>
        </w:rPr>
      </w:pPr>
    </w:p>
    <w:p w:rsidR="00572DB0" w:rsidRDefault="00572DB0" w:rsidP="00572DB0">
      <w:pPr>
        <w:rPr>
          <w:i/>
          <w:iCs/>
        </w:rPr>
      </w:pPr>
    </w:p>
    <w:p w:rsidR="00572DB0" w:rsidRDefault="00572DB0" w:rsidP="00572DB0">
      <w:pPr>
        <w:rPr>
          <w:i/>
          <w:iCs/>
        </w:rPr>
      </w:pPr>
    </w:p>
    <w:p w:rsidR="00572DB0" w:rsidRPr="00572DB0" w:rsidRDefault="00572DB0" w:rsidP="00572DB0">
      <w:pPr>
        <w:rPr>
          <w:b/>
          <w:bCs/>
          <w:sz w:val="24"/>
          <w:szCs w:val="20"/>
        </w:rPr>
      </w:pPr>
      <w:r w:rsidRPr="00572DB0">
        <w:rPr>
          <w:b/>
          <w:i/>
          <w:iCs/>
          <w:sz w:val="24"/>
        </w:rPr>
        <w:t xml:space="preserve">Emmanuel TERRIER </w:t>
      </w:r>
      <w:r w:rsidRPr="00572DB0">
        <w:rPr>
          <w:b/>
          <w:bCs/>
          <w:sz w:val="24"/>
        </w:rPr>
        <w:t> </w:t>
      </w:r>
    </w:p>
    <w:p w:rsidR="00572DB0" w:rsidRDefault="00572DB0" w:rsidP="00572DB0">
      <w:pPr>
        <w:rPr>
          <w:i/>
          <w:iCs/>
        </w:rPr>
      </w:pPr>
      <w:r>
        <w:rPr>
          <w:i/>
          <w:iCs/>
        </w:rPr>
        <w:t>Adresses électroniques :</w:t>
      </w:r>
    </w:p>
    <w:p w:rsidR="00572DB0" w:rsidRPr="00572DB0" w:rsidRDefault="00572DB0" w:rsidP="00572DB0">
      <w:pPr>
        <w:rPr>
          <w:iCs/>
        </w:rPr>
      </w:pPr>
      <w:r>
        <w:rPr>
          <w:iCs/>
        </w:rPr>
        <w:t>emmanuel.terrier@</w:t>
      </w:r>
      <w:r w:rsidR="00EB412F">
        <w:rPr>
          <w:iCs/>
        </w:rPr>
        <w:t>umontpellier.fr</w:t>
      </w:r>
      <w:bookmarkStart w:id="0" w:name="_GoBack"/>
      <w:bookmarkEnd w:id="0"/>
    </w:p>
    <w:p w:rsidR="00572DB0" w:rsidRDefault="00572DB0" w:rsidP="00572DB0">
      <w:pPr>
        <w:rPr>
          <w:szCs w:val="20"/>
        </w:rPr>
      </w:pPr>
      <w:r>
        <w:rPr>
          <w:i/>
          <w:iCs/>
        </w:rPr>
        <w:t xml:space="preserve"> </w:t>
      </w:r>
      <w:r>
        <w:t xml:space="preserve">emmanuelterrier@aol.com   </w:t>
      </w:r>
    </w:p>
    <w:p w:rsidR="00572DB0" w:rsidRDefault="00572DB0" w:rsidP="00572DB0">
      <w:pPr>
        <w:rPr>
          <w:b/>
          <w:bCs/>
        </w:rPr>
      </w:pPr>
    </w:p>
    <w:p w:rsidR="00572DB0" w:rsidRDefault="00572DB0" w:rsidP="00572DB0">
      <w:pPr>
        <w:rPr>
          <w:b/>
          <w:bCs/>
        </w:rPr>
      </w:pPr>
    </w:p>
    <w:p w:rsidR="00572DB0" w:rsidRDefault="00572DB0" w:rsidP="00572DB0">
      <w:pPr>
        <w:rPr>
          <w:b/>
          <w:bCs/>
          <w:szCs w:val="20"/>
        </w:rPr>
      </w:pPr>
      <w:r>
        <w:rPr>
          <w:b/>
          <w:bCs/>
        </w:rPr>
        <w:t> </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212"/>
      </w:tblGrid>
      <w:tr w:rsidR="00572DB0">
        <w:tc>
          <w:tcPr>
            <w:tcW w:w="9212" w:type="dxa"/>
            <w:tcBorders>
              <w:top w:val="single" w:sz="4" w:space="0" w:color="auto"/>
              <w:left w:val="single" w:sz="4" w:space="0" w:color="auto"/>
              <w:bottom w:val="single" w:sz="4" w:space="0" w:color="auto"/>
              <w:right w:val="single" w:sz="4" w:space="0" w:color="auto"/>
            </w:tcBorders>
          </w:tcPr>
          <w:p w:rsidR="00572DB0" w:rsidRDefault="00572DB0">
            <w:pPr>
              <w:rPr>
                <w:b/>
                <w:bCs/>
                <w:szCs w:val="20"/>
              </w:rPr>
            </w:pPr>
            <w:r>
              <w:rPr>
                <w:b/>
                <w:bCs/>
              </w:rPr>
              <w:t xml:space="preserve">                                             TITRES UNIVERSITAIRES FRANÇAIS</w:t>
            </w:r>
            <w:r>
              <w:rPr>
                <w:b/>
                <w:bCs/>
                <w:bdr w:val="single" w:sz="4" w:space="0" w:color="auto" w:frame="1"/>
              </w:rPr>
              <w:t xml:space="preserve">                  </w:t>
            </w:r>
          </w:p>
        </w:tc>
      </w:tr>
    </w:tbl>
    <w:p w:rsidR="00572DB0" w:rsidRDefault="00572DB0" w:rsidP="00572DB0">
      <w:pPr>
        <w:rPr>
          <w:b/>
          <w:bCs/>
          <w:szCs w:val="20"/>
        </w:rPr>
      </w:pPr>
      <w:r>
        <w:rPr>
          <w:b/>
          <w:bCs/>
        </w:rPr>
        <w:t> </w:t>
      </w:r>
    </w:p>
    <w:p w:rsidR="00572DB0" w:rsidRDefault="00572DB0" w:rsidP="00572DB0">
      <w:pPr>
        <w:widowControl w:val="0"/>
        <w:jc w:val="both"/>
      </w:pPr>
      <w:r>
        <w:rPr>
          <w:b/>
        </w:rPr>
        <w:t>Habilitation à diriger des recherches</w:t>
      </w:r>
      <w:r>
        <w:t xml:space="preserve"> (HDR, octobre 2006) </w:t>
      </w:r>
    </w:p>
    <w:p w:rsidR="00572DB0" w:rsidRDefault="00572DB0" w:rsidP="00572DB0">
      <w:pPr>
        <w:widowControl w:val="0"/>
        <w:jc w:val="both"/>
      </w:pPr>
    </w:p>
    <w:p w:rsidR="00572DB0" w:rsidRDefault="00572DB0" w:rsidP="00572DB0">
      <w:pPr>
        <w:widowControl w:val="0"/>
        <w:jc w:val="both"/>
        <w:rPr>
          <w:szCs w:val="20"/>
        </w:rPr>
      </w:pPr>
      <w:r>
        <w:rPr>
          <w:b/>
        </w:rPr>
        <w:t xml:space="preserve">Docteur </w:t>
      </w:r>
      <w:r>
        <w:t>de l'Université Montpellier I</w:t>
      </w:r>
    </w:p>
    <w:p w:rsidR="00572DB0" w:rsidRDefault="00572DB0" w:rsidP="00572DB0">
      <w:pPr>
        <w:widowControl w:val="0"/>
        <w:jc w:val="both"/>
        <w:rPr>
          <w:szCs w:val="20"/>
        </w:rPr>
      </w:pPr>
    </w:p>
    <w:p w:rsidR="00572DB0" w:rsidRDefault="00572DB0" w:rsidP="00572DB0">
      <w:r>
        <w:t>Lauréat de la Faculté de Droit de Montpellier pour l’année 2003, prix Loubers du meilleur étudiant en Doctorat en Droit civil, prix Ponseillé de la meilleure thèse en Droit de la santé.</w:t>
      </w:r>
    </w:p>
    <w:p w:rsidR="00572DB0" w:rsidRDefault="00572DB0" w:rsidP="00572DB0">
      <w:r>
        <w:t>Lauréat de L’Université Lyon III (prix André Demichel)</w:t>
      </w:r>
    </w:p>
    <w:p w:rsidR="00572DB0" w:rsidRDefault="00572DB0" w:rsidP="00572DB0">
      <w:r>
        <w:t>Lauréat de l’Association française du droit de la Santé (Paris II)</w:t>
      </w:r>
    </w:p>
    <w:p w:rsidR="00572DB0" w:rsidRDefault="00572DB0" w:rsidP="00572DB0">
      <w:pPr>
        <w:rPr>
          <w:szCs w:val="20"/>
        </w:rPr>
      </w:pPr>
    </w:p>
    <w:p w:rsidR="00572DB0" w:rsidRDefault="00572DB0" w:rsidP="00572DB0">
      <w:pPr>
        <w:widowControl w:val="0"/>
        <w:jc w:val="both"/>
        <w:rPr>
          <w:szCs w:val="20"/>
        </w:rPr>
      </w:pPr>
    </w:p>
    <w:p w:rsidR="00572DB0" w:rsidRDefault="00572DB0" w:rsidP="00572DB0">
      <w:pPr>
        <w:pStyle w:val="Titre2"/>
        <w:rPr>
          <w:lang w:val="fr-FR"/>
        </w:rPr>
      </w:pPr>
      <w:r>
        <w:rPr>
          <w:lang w:val="fr-FR"/>
        </w:rPr>
        <w:t>FONCTIONS universitaires</w:t>
      </w:r>
    </w:p>
    <w:p w:rsidR="00572DB0" w:rsidRDefault="00572DB0" w:rsidP="00572DB0">
      <w:pPr>
        <w:rPr>
          <w:szCs w:val="20"/>
        </w:rPr>
      </w:pPr>
    </w:p>
    <w:p w:rsidR="00572DB0" w:rsidRDefault="00572DB0" w:rsidP="00572DB0">
      <w:pPr>
        <w:rPr>
          <w:szCs w:val="20"/>
        </w:rPr>
      </w:pPr>
    </w:p>
    <w:p w:rsidR="00572DB0" w:rsidRPr="00572DB0" w:rsidRDefault="00572DB0" w:rsidP="00572DB0">
      <w:pPr>
        <w:jc w:val="both"/>
      </w:pPr>
      <w:r>
        <w:t xml:space="preserve">Maître de conférences de droit privé habilité à la direction de recherches </w:t>
      </w:r>
    </w:p>
    <w:p w:rsidR="00572DB0" w:rsidRDefault="00572DB0" w:rsidP="00572DB0">
      <w:pPr>
        <w:rPr>
          <w:szCs w:val="20"/>
        </w:rPr>
      </w:pPr>
      <w:r>
        <w:rPr>
          <w:szCs w:val="20"/>
        </w:rPr>
        <w:t>Rattaché à l’ISEM (parcours classique et parcours droit et gestion sanitaire CESEGH)</w:t>
      </w:r>
    </w:p>
    <w:p w:rsidR="00572DB0" w:rsidRDefault="00572DB0" w:rsidP="00572DB0">
      <w:pPr>
        <w:rPr>
          <w:szCs w:val="20"/>
        </w:rPr>
      </w:pPr>
      <w:r>
        <w:rPr>
          <w:szCs w:val="20"/>
        </w:rPr>
        <w:t>Chef de département Carrières juridiques IUT Perpignan (2009-2011)</w:t>
      </w:r>
    </w:p>
    <w:p w:rsidR="00572DB0" w:rsidRDefault="00572DB0" w:rsidP="00572DB0">
      <w:pPr>
        <w:rPr>
          <w:szCs w:val="20"/>
        </w:rPr>
      </w:pPr>
    </w:p>
    <w:p w:rsidR="00572DB0" w:rsidRDefault="00572DB0" w:rsidP="00572DB0">
      <w:pPr>
        <w:pStyle w:val="Titre2"/>
        <w:ind w:left="708" w:hanging="708"/>
        <w:rPr>
          <w:lang w:val="fr-FR"/>
        </w:rPr>
      </w:pPr>
      <w:r>
        <w:rPr>
          <w:lang w:val="fr-FR"/>
        </w:rPr>
        <w:t>Autres activités</w:t>
      </w:r>
    </w:p>
    <w:p w:rsidR="00572DB0" w:rsidRDefault="00572DB0" w:rsidP="00572DB0">
      <w:pPr>
        <w:spacing w:before="240"/>
        <w:rPr>
          <w:b/>
          <w:bCs/>
          <w:szCs w:val="20"/>
        </w:rPr>
      </w:pPr>
    </w:p>
    <w:p w:rsidR="00572DB0" w:rsidRDefault="00572DB0" w:rsidP="00572DB0">
      <w:pPr>
        <w:widowControl w:val="0"/>
        <w:rPr>
          <w:iCs/>
        </w:rPr>
      </w:pPr>
    </w:p>
    <w:p w:rsidR="00572DB0" w:rsidRDefault="00572DB0" w:rsidP="00572DB0">
      <w:pPr>
        <w:widowControl w:val="0"/>
        <w:jc w:val="both"/>
        <w:rPr>
          <w:iCs/>
          <w:szCs w:val="20"/>
        </w:rPr>
      </w:pPr>
      <w:r w:rsidRPr="00C71FCF">
        <w:rPr>
          <w:b/>
          <w:iCs/>
        </w:rPr>
        <w:t>Membre de la Commission</w:t>
      </w:r>
      <w:r>
        <w:rPr>
          <w:iCs/>
        </w:rPr>
        <w:t xml:space="preserve"> Régionale de Conciliation et d’Indemnisation des Accidents médicaux (</w:t>
      </w:r>
      <w:r w:rsidRPr="00C71FCF">
        <w:rPr>
          <w:b/>
          <w:iCs/>
        </w:rPr>
        <w:t>CRCI</w:t>
      </w:r>
      <w:r>
        <w:rPr>
          <w:iCs/>
        </w:rPr>
        <w:t>) Languedoc- Roussillon (2005-2012)</w:t>
      </w:r>
    </w:p>
    <w:p w:rsidR="00572DB0" w:rsidRPr="00572DB0" w:rsidRDefault="00572DB0" w:rsidP="00572DB0">
      <w:pPr>
        <w:jc w:val="both"/>
        <w:rPr>
          <w:szCs w:val="20"/>
        </w:rPr>
      </w:pPr>
      <w:r w:rsidRPr="00C71FCF">
        <w:rPr>
          <w:b/>
        </w:rPr>
        <w:t>Expert</w:t>
      </w:r>
      <w:r>
        <w:t xml:space="preserve"> auprès de la Haute autorité de santé (HAS)</w:t>
      </w:r>
    </w:p>
    <w:p w:rsidR="00572DB0" w:rsidRPr="00572DB0" w:rsidRDefault="00572DB0" w:rsidP="00572DB0">
      <w:pPr>
        <w:widowControl w:val="0"/>
        <w:jc w:val="both"/>
        <w:rPr>
          <w:b/>
        </w:rPr>
      </w:pPr>
      <w:r w:rsidRPr="00C71FCF">
        <w:rPr>
          <w:b/>
        </w:rPr>
        <w:t>Membre de l'Association Française du Droit de la Santé</w:t>
      </w:r>
    </w:p>
    <w:p w:rsidR="00572DB0" w:rsidRPr="00572DB0" w:rsidRDefault="00572DB0" w:rsidP="00572DB0">
      <w:pPr>
        <w:widowControl w:val="0"/>
        <w:jc w:val="both"/>
        <w:rPr>
          <w:iCs/>
        </w:rPr>
      </w:pPr>
      <w:r w:rsidRPr="00B138B5">
        <w:rPr>
          <w:b/>
          <w:iCs/>
        </w:rPr>
        <w:t>Membre du</w:t>
      </w:r>
      <w:r>
        <w:rPr>
          <w:iCs/>
        </w:rPr>
        <w:t xml:space="preserve"> </w:t>
      </w:r>
      <w:r w:rsidRPr="000C11F7">
        <w:rPr>
          <w:b/>
          <w:bCs/>
          <w:iCs/>
        </w:rPr>
        <w:t>Comité d’éthique</w:t>
      </w:r>
      <w:r>
        <w:rPr>
          <w:bCs/>
          <w:iCs/>
        </w:rPr>
        <w:t xml:space="preserve"> du</w:t>
      </w:r>
      <w:r>
        <w:rPr>
          <w:iCs/>
        </w:rPr>
        <w:t xml:space="preserve"> Centre Hospitalier Régional de Béziers</w:t>
      </w:r>
    </w:p>
    <w:p w:rsidR="00572DB0" w:rsidRPr="00572DB0" w:rsidRDefault="00572DB0" w:rsidP="00572DB0">
      <w:pPr>
        <w:widowControl w:val="0"/>
        <w:jc w:val="both"/>
        <w:rPr>
          <w:iCs/>
        </w:rPr>
      </w:pPr>
      <w:r w:rsidRPr="00B138B5">
        <w:rPr>
          <w:b/>
          <w:iCs/>
        </w:rPr>
        <w:t>Membre du</w:t>
      </w:r>
      <w:r>
        <w:rPr>
          <w:iCs/>
        </w:rPr>
        <w:t xml:space="preserve"> </w:t>
      </w:r>
      <w:r>
        <w:rPr>
          <w:b/>
          <w:bCs/>
          <w:iCs/>
        </w:rPr>
        <w:t>Conseil de surveillance</w:t>
      </w:r>
      <w:r>
        <w:rPr>
          <w:bCs/>
          <w:iCs/>
        </w:rPr>
        <w:t xml:space="preserve"> du</w:t>
      </w:r>
      <w:r>
        <w:rPr>
          <w:iCs/>
        </w:rPr>
        <w:t xml:space="preserve"> Centre Hospitalier Régional de Béziers</w:t>
      </w:r>
    </w:p>
    <w:p w:rsidR="00572DB0" w:rsidRDefault="00572DB0" w:rsidP="00572DB0">
      <w:pPr>
        <w:widowControl w:val="0"/>
        <w:jc w:val="both"/>
        <w:rPr>
          <w:iCs/>
          <w:szCs w:val="20"/>
        </w:rPr>
      </w:pPr>
    </w:p>
    <w:p w:rsidR="00572DB0" w:rsidRDefault="00572DB0" w:rsidP="00572DB0">
      <w:pPr>
        <w:pStyle w:val="Pieddepage"/>
        <w:widowControl w:val="0"/>
        <w:tabs>
          <w:tab w:val="clear" w:pos="4536"/>
          <w:tab w:val="clear" w:pos="9072"/>
        </w:tabs>
        <w:rPr>
          <w:bCs/>
          <w:iCs/>
        </w:rPr>
      </w:pPr>
    </w:p>
    <w:p w:rsidR="00572DB0" w:rsidRDefault="00572DB0" w:rsidP="00572DB0">
      <w:pPr>
        <w:spacing w:before="240"/>
        <w:ind w:right="-828"/>
        <w:rPr>
          <w:b/>
          <w:bCs/>
          <w:szCs w:val="20"/>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212"/>
      </w:tblGrid>
      <w:tr w:rsidR="00572DB0">
        <w:tc>
          <w:tcPr>
            <w:tcW w:w="9212" w:type="dxa"/>
            <w:tcBorders>
              <w:top w:val="single" w:sz="4" w:space="0" w:color="auto"/>
              <w:left w:val="single" w:sz="4" w:space="0" w:color="auto"/>
              <w:bottom w:val="single" w:sz="4" w:space="0" w:color="auto"/>
              <w:right w:val="single" w:sz="4" w:space="0" w:color="auto"/>
            </w:tcBorders>
          </w:tcPr>
          <w:p w:rsidR="00572DB0" w:rsidRDefault="00572DB0">
            <w:pPr>
              <w:jc w:val="center"/>
              <w:rPr>
                <w:b/>
                <w:bCs/>
                <w:szCs w:val="20"/>
              </w:rPr>
            </w:pPr>
            <w:r>
              <w:rPr>
                <w:b/>
                <w:bCs/>
              </w:rPr>
              <w:t>TRAVAUX, OUVRAGES, ARTICLES ET REALISATIONS</w:t>
            </w:r>
          </w:p>
        </w:tc>
      </w:tr>
    </w:tbl>
    <w:p w:rsidR="00572DB0" w:rsidRDefault="00572DB0" w:rsidP="00572DB0">
      <w:pPr>
        <w:spacing w:before="240"/>
        <w:jc w:val="both"/>
        <w:rPr>
          <w:szCs w:val="20"/>
        </w:rPr>
      </w:pPr>
      <w:r>
        <w:t> </w:t>
      </w:r>
    </w:p>
    <w:p w:rsidR="00572DB0" w:rsidRDefault="00572DB0" w:rsidP="00572DB0">
      <w:pPr>
        <w:pStyle w:val="Titre3"/>
        <w:spacing w:line="240" w:lineRule="auto"/>
        <w:rPr>
          <w:b/>
          <w:lang w:val="fr-FR"/>
        </w:rPr>
      </w:pPr>
      <w:r>
        <w:rPr>
          <w:b/>
          <w:lang w:val="fr-FR"/>
        </w:rPr>
        <w:t>PUBLICATION </w:t>
      </w:r>
      <w:r>
        <w:rPr>
          <w:bCs/>
          <w:lang w:val="fr-FR"/>
        </w:rPr>
        <w:t>:</w:t>
      </w:r>
    </w:p>
    <w:p w:rsidR="00572DB0" w:rsidRPr="00CF24A7" w:rsidRDefault="00572DB0" w:rsidP="00572DB0">
      <w:pPr>
        <w:widowControl w:val="0"/>
        <w:jc w:val="both"/>
        <w:rPr>
          <w:b/>
        </w:rPr>
      </w:pPr>
      <w:r w:rsidRPr="00CF24A7">
        <w:rPr>
          <w:b/>
        </w:rPr>
        <w:t xml:space="preserve">OUVRAGES : </w:t>
      </w:r>
    </w:p>
    <w:p w:rsidR="00572DB0" w:rsidRDefault="00572DB0" w:rsidP="00572DB0">
      <w:pPr>
        <w:widowControl w:val="0"/>
        <w:jc w:val="both"/>
        <w:rPr>
          <w:szCs w:val="20"/>
        </w:rPr>
      </w:pPr>
      <w:r>
        <w:tab/>
      </w:r>
    </w:p>
    <w:p w:rsidR="00572DB0" w:rsidRPr="00572DB0" w:rsidRDefault="00572DB0" w:rsidP="00572DB0">
      <w:pPr>
        <w:widowControl w:val="0"/>
        <w:jc w:val="both"/>
      </w:pPr>
      <w:r>
        <w:rPr>
          <w:i/>
          <w:iCs/>
        </w:rPr>
        <w:t>Déontologie médicale et droit</w:t>
      </w:r>
      <w:r>
        <w:t xml:space="preserve">, pref. C. Atias, Ed. des Etudes Hospitalières, coll. Thèse, n° 14, 2003. </w:t>
      </w:r>
    </w:p>
    <w:p w:rsidR="00572DB0" w:rsidRDefault="00572DB0" w:rsidP="00572DB0">
      <w:pPr>
        <w:widowControl w:val="0"/>
        <w:jc w:val="both"/>
        <w:rPr>
          <w:szCs w:val="20"/>
        </w:rPr>
      </w:pPr>
      <w:r>
        <w:rPr>
          <w:i/>
          <w:iCs/>
        </w:rPr>
        <w:t>La sanction du dialogue thérapeutique négligent</w:t>
      </w:r>
      <w:r>
        <w:t xml:space="preserve">, Ed. des Etudes Hospitalières, coll. « Essentiel », </w:t>
      </w:r>
      <w:r>
        <w:lastRenderedPageBreak/>
        <w:t>2015, à paraître. (en collaboration avec le professeur G. Mémeteau)</w:t>
      </w:r>
    </w:p>
    <w:p w:rsidR="00572DB0" w:rsidRDefault="00572DB0" w:rsidP="00572DB0">
      <w:pPr>
        <w:widowControl w:val="0"/>
        <w:jc w:val="both"/>
        <w:rPr>
          <w:szCs w:val="20"/>
        </w:rPr>
      </w:pPr>
    </w:p>
    <w:p w:rsidR="00572DB0" w:rsidRDefault="00572DB0" w:rsidP="00572DB0">
      <w:pPr>
        <w:widowControl w:val="0"/>
        <w:jc w:val="both"/>
        <w:rPr>
          <w:szCs w:val="20"/>
        </w:rPr>
      </w:pPr>
      <w:r>
        <w:rPr>
          <w:b/>
          <w:bCs/>
        </w:rPr>
        <w:t>ARTICLES</w:t>
      </w:r>
      <w:r>
        <w:t xml:space="preserve"> : </w:t>
      </w:r>
    </w:p>
    <w:p w:rsidR="00572DB0" w:rsidRDefault="00572DB0" w:rsidP="00572DB0">
      <w:pPr>
        <w:widowControl w:val="0"/>
        <w:jc w:val="both"/>
        <w:rPr>
          <w:szCs w:val="20"/>
        </w:rPr>
      </w:pPr>
    </w:p>
    <w:p w:rsidR="00572DB0" w:rsidRPr="00572DB0" w:rsidRDefault="00572DB0" w:rsidP="00572DB0">
      <w:pPr>
        <w:widowControl w:val="0"/>
        <w:jc w:val="both"/>
        <w:rPr>
          <w:bCs/>
        </w:rPr>
      </w:pPr>
      <w:r>
        <w:rPr>
          <w:bCs/>
          <w:i/>
        </w:rPr>
        <w:t>Fascicules « Ordre des Médecins », « Code de déontologie », in Traité de droit médical et hospitalier</w:t>
      </w:r>
      <w:r>
        <w:rPr>
          <w:bCs/>
        </w:rPr>
        <w:t>, LITEC 2015</w:t>
      </w:r>
      <w:r w:rsidRPr="00CC7849">
        <w:rPr>
          <w:bCs/>
        </w:rPr>
        <w:t xml:space="preserve"> à </w:t>
      </w:r>
      <w:r>
        <w:rPr>
          <w:bCs/>
        </w:rPr>
        <w:t>paraître</w:t>
      </w:r>
    </w:p>
    <w:p w:rsidR="00572DB0" w:rsidRPr="00572DB0" w:rsidRDefault="00572DB0" w:rsidP="00572DB0">
      <w:pPr>
        <w:widowControl w:val="0"/>
        <w:jc w:val="both"/>
        <w:rPr>
          <w:bCs/>
        </w:rPr>
      </w:pPr>
      <w:r>
        <w:rPr>
          <w:bCs/>
          <w:i/>
        </w:rPr>
        <w:t xml:space="preserve">La personne humaine, vie et mort </w:t>
      </w:r>
      <w:r w:rsidRPr="0063213C">
        <w:rPr>
          <w:bCs/>
        </w:rPr>
        <w:t>in</w:t>
      </w:r>
      <w:r>
        <w:rPr>
          <w:bCs/>
          <w:i/>
        </w:rPr>
        <w:t xml:space="preserve"> Libertés et Droits fondamentaux, </w:t>
      </w:r>
      <w:r>
        <w:rPr>
          <w:bCs/>
        </w:rPr>
        <w:t>Rémy Cabrillac (dir.), Dalloz 2014.</w:t>
      </w:r>
    </w:p>
    <w:p w:rsidR="00572DB0" w:rsidRPr="00572DB0" w:rsidRDefault="00572DB0" w:rsidP="00572DB0">
      <w:pPr>
        <w:widowControl w:val="0"/>
        <w:jc w:val="both"/>
        <w:rPr>
          <w:bCs/>
          <w:i/>
        </w:rPr>
      </w:pPr>
      <w:r w:rsidRPr="00B015C7">
        <w:rPr>
          <w:bCs/>
          <w:i/>
        </w:rPr>
        <w:t xml:space="preserve">La responsabilité lié au choix du sexe ante nativitatem, </w:t>
      </w:r>
      <w:r w:rsidRPr="00B015C7">
        <w:rPr>
          <w:bCs/>
        </w:rPr>
        <w:t>in</w:t>
      </w:r>
      <w:r w:rsidRPr="00B015C7">
        <w:rPr>
          <w:bCs/>
          <w:i/>
        </w:rPr>
        <w:t xml:space="preserve"> Bioéthique et genre</w:t>
      </w:r>
      <w:r w:rsidRPr="00B015C7">
        <w:rPr>
          <w:bCs/>
        </w:rPr>
        <w:t>, LGDJ, 2013.</w:t>
      </w:r>
      <w:r w:rsidRPr="00B015C7">
        <w:rPr>
          <w:bCs/>
          <w:i/>
        </w:rPr>
        <w:t xml:space="preserve"> </w:t>
      </w:r>
    </w:p>
    <w:p w:rsidR="00572DB0" w:rsidRDefault="00572DB0" w:rsidP="00572DB0">
      <w:pPr>
        <w:widowControl w:val="0"/>
        <w:jc w:val="both"/>
        <w:rPr>
          <w:bCs/>
        </w:rPr>
      </w:pPr>
      <w:r>
        <w:rPr>
          <w:bCs/>
          <w:i/>
        </w:rPr>
        <w:t>Obligations de soins, autopsie de conflits juridiques</w:t>
      </w:r>
      <w:r>
        <w:rPr>
          <w:bCs/>
        </w:rPr>
        <w:t xml:space="preserve">, R.G.D.M 2010, n° 35, p. 186 s. </w:t>
      </w:r>
    </w:p>
    <w:p w:rsidR="00572DB0" w:rsidRPr="00572DB0" w:rsidRDefault="00572DB0" w:rsidP="00572DB0">
      <w:pPr>
        <w:widowControl w:val="0"/>
        <w:jc w:val="both"/>
        <w:rPr>
          <w:bCs/>
          <w:i/>
        </w:rPr>
      </w:pPr>
      <w:r w:rsidRPr="00B015C7">
        <w:rPr>
          <w:rFonts w:eastAsia="Calibri" w:cs="Helvetica"/>
          <w:i/>
          <w:color w:val="333333"/>
          <w:szCs w:val="30"/>
        </w:rPr>
        <w:t>Les actes de médecine esthétique encadrés par la loi n° 2009-879 du 21 juillet 2009</w:t>
      </w:r>
      <w:r>
        <w:rPr>
          <w:rFonts w:eastAsia="Calibri" w:cs="Helvetica"/>
          <w:color w:val="333333"/>
          <w:szCs w:val="30"/>
        </w:rPr>
        <w:t>, Les P</w:t>
      </w:r>
      <w:r w:rsidRPr="00B015C7">
        <w:rPr>
          <w:rFonts w:eastAsia="Calibri" w:cs="Helvetica"/>
          <w:color w:val="333333"/>
          <w:szCs w:val="30"/>
        </w:rPr>
        <w:t xml:space="preserve">etites Affiches, 10 juin 2010, p. 4 s. </w:t>
      </w:r>
    </w:p>
    <w:p w:rsidR="00572DB0" w:rsidRPr="00572DB0" w:rsidRDefault="00572DB0" w:rsidP="00572DB0">
      <w:pPr>
        <w:widowControl w:val="0"/>
        <w:jc w:val="both"/>
        <w:rPr>
          <w:iCs/>
        </w:rPr>
      </w:pPr>
      <w:r w:rsidRPr="00690A9B">
        <w:rPr>
          <w:bCs/>
          <w:i/>
        </w:rPr>
        <w:t>Le cadre juridique de la recherche biomédicale, in Quel droit pour la recherche ?</w:t>
      </w:r>
      <w:r>
        <w:rPr>
          <w:bCs/>
        </w:rPr>
        <w:t xml:space="preserve"> ss la direction d’E. Vergès et I. de Lamberterie, Litec, coll. Débats, 2007. </w:t>
      </w:r>
    </w:p>
    <w:p w:rsidR="00572DB0" w:rsidRDefault="00572DB0" w:rsidP="00572DB0">
      <w:pPr>
        <w:widowControl w:val="0"/>
        <w:jc w:val="both"/>
        <w:rPr>
          <w:iCs/>
        </w:rPr>
      </w:pPr>
      <w:r>
        <w:rPr>
          <w:i/>
          <w:iCs/>
        </w:rPr>
        <w:t>La bioéthique, entre la morale et le droit</w:t>
      </w:r>
      <w:r>
        <w:t xml:space="preserve">, </w:t>
      </w:r>
      <w:r>
        <w:rPr>
          <w:iCs/>
        </w:rPr>
        <w:t xml:space="preserve">Actes du colloque du 15 avril 2005, R. G. D. M., numéro spécial, 2006 </w:t>
      </w:r>
    </w:p>
    <w:p w:rsidR="00572DB0" w:rsidRDefault="00572DB0" w:rsidP="00572DB0">
      <w:pPr>
        <w:widowControl w:val="0"/>
        <w:jc w:val="both"/>
        <w:rPr>
          <w:szCs w:val="20"/>
        </w:rPr>
      </w:pPr>
      <w:r>
        <w:rPr>
          <w:i/>
          <w:iCs/>
        </w:rPr>
        <w:t>Responsabilité médicale : retours pour le futur</w:t>
      </w:r>
      <w:r>
        <w:t>, note sous Paris, 1</w:t>
      </w:r>
      <w:r>
        <w:rPr>
          <w:vertAlign w:val="superscript"/>
        </w:rPr>
        <w:t xml:space="preserve">ère  </w:t>
      </w:r>
      <w:r>
        <w:t>ch., 4 mars 2005, Dalloz 2005, jur. 2131.</w:t>
      </w:r>
    </w:p>
    <w:p w:rsidR="00572DB0" w:rsidRDefault="00572DB0" w:rsidP="00572DB0">
      <w:pPr>
        <w:widowControl w:val="0"/>
        <w:jc w:val="both"/>
        <w:rPr>
          <w:szCs w:val="20"/>
        </w:rPr>
      </w:pPr>
      <w:r>
        <w:rPr>
          <w:i/>
          <w:iCs/>
        </w:rPr>
        <w:t>La fiction au secours des quasi-contrats ou l'achèvement d'un débat juridique</w:t>
      </w:r>
      <w:r>
        <w:t>¸ D. 2004, Chron. 1179</w:t>
      </w:r>
    </w:p>
    <w:p w:rsidR="00572DB0" w:rsidRDefault="00572DB0" w:rsidP="00572DB0">
      <w:pPr>
        <w:widowControl w:val="0"/>
        <w:jc w:val="both"/>
        <w:rPr>
          <w:szCs w:val="20"/>
        </w:rPr>
      </w:pPr>
      <w:r>
        <w:softHyphen/>
        <w:t>La</w:t>
      </w:r>
      <w:r>
        <w:rPr>
          <w:i/>
          <w:iCs/>
        </w:rPr>
        <w:t xml:space="preserve"> perception juridique de la mort</w:t>
      </w:r>
      <w:r>
        <w:t xml:space="preserve">, </w:t>
      </w:r>
      <w:r>
        <w:rPr>
          <w:i/>
        </w:rPr>
        <w:t>in « Ethos et Thanatos »</w:t>
      </w:r>
      <w:r>
        <w:rPr>
          <w:iCs/>
        </w:rPr>
        <w:t xml:space="preserve">, Actes du colloque du 16 avril 2004, R. G. D. M., numéro spécial, décembre 2004 </w:t>
      </w:r>
    </w:p>
    <w:p w:rsidR="00572DB0" w:rsidRPr="00572DB0" w:rsidRDefault="00572DB0" w:rsidP="00572DB0">
      <w:pPr>
        <w:widowControl w:val="0"/>
        <w:jc w:val="both"/>
        <w:rPr>
          <w:i/>
          <w:iCs/>
          <w:szCs w:val="20"/>
        </w:rPr>
      </w:pPr>
      <w:r>
        <w:rPr>
          <w:i/>
          <w:iCs/>
        </w:rPr>
        <w:t>Projet de loi relatif à la santé publique</w:t>
      </w:r>
      <w:r>
        <w:t xml:space="preserve">, JCP E. 2004, Suppl. Cahier du droit des entreprises de Santé, n°1, 11 mars 2004,  p. 4 </w:t>
      </w:r>
    </w:p>
    <w:p w:rsidR="00572DB0" w:rsidRDefault="00572DB0" w:rsidP="00572DB0">
      <w:pPr>
        <w:widowControl w:val="0"/>
        <w:jc w:val="both"/>
        <w:rPr>
          <w:szCs w:val="20"/>
        </w:rPr>
      </w:pPr>
      <w:r>
        <w:rPr>
          <w:i/>
        </w:rPr>
        <w:t>La jurisprudence et la loi du 4 mars 2002, impulsion ou anticipation</w:t>
      </w:r>
      <w:r>
        <w:rPr>
          <w:iCs/>
        </w:rPr>
        <w:t xml:space="preserve"> ? </w:t>
      </w:r>
      <w:r>
        <w:rPr>
          <w:i/>
        </w:rPr>
        <w:t>in</w:t>
      </w:r>
      <w:r>
        <w:rPr>
          <w:iCs/>
        </w:rPr>
        <w:t xml:space="preserve"> </w:t>
      </w:r>
      <w:r>
        <w:rPr>
          <w:i/>
        </w:rPr>
        <w:t>Droits de malades et qualité du système de santé</w:t>
      </w:r>
      <w:r>
        <w:rPr>
          <w:iCs/>
        </w:rPr>
        <w:t xml:space="preserve">, Actes du colloque du 24 mai 2003, R. G. D. M., numéro spécial février 2004. </w:t>
      </w:r>
    </w:p>
    <w:p w:rsidR="00572DB0" w:rsidRDefault="00572DB0" w:rsidP="00572DB0">
      <w:pPr>
        <w:widowControl w:val="0"/>
        <w:jc w:val="both"/>
        <w:rPr>
          <w:szCs w:val="20"/>
        </w:rPr>
      </w:pPr>
      <w:r>
        <w:rPr>
          <w:i/>
        </w:rPr>
        <w:t>Un exemple d'ambiguïté sur l'obligation médicale d'information</w:t>
      </w:r>
      <w:r>
        <w:rPr>
          <w:iCs/>
        </w:rPr>
        <w:t xml:space="preserve">, </w:t>
      </w:r>
      <w:r>
        <w:t xml:space="preserve">JCP E. 2003, Suppl. Cahier du droit des entreprises de Santé, n°2, 10 avril 2003, p. 2. </w:t>
      </w:r>
    </w:p>
    <w:p w:rsidR="00572DB0" w:rsidRPr="00572DB0" w:rsidRDefault="00572DB0" w:rsidP="00572DB0">
      <w:pPr>
        <w:widowControl w:val="0"/>
        <w:jc w:val="both"/>
        <w:rPr>
          <w:i/>
          <w:iCs/>
          <w:szCs w:val="20"/>
        </w:rPr>
      </w:pPr>
      <w:r>
        <w:rPr>
          <w:i/>
        </w:rPr>
        <w:t>Protection du patient : pour une consécration du modèle déontologique</w:t>
      </w:r>
      <w:r>
        <w:t>, JCP E. 2002, Suppl. Cahier du droit des entreprises de Santé, n°1, 14 février 2002,  p. 17</w:t>
      </w:r>
    </w:p>
    <w:p w:rsidR="00572DB0" w:rsidRDefault="00572DB0" w:rsidP="00572DB0">
      <w:pPr>
        <w:widowControl w:val="0"/>
        <w:jc w:val="both"/>
        <w:rPr>
          <w:iCs/>
          <w:u w:val="single"/>
        </w:rPr>
      </w:pPr>
      <w:r>
        <w:rPr>
          <w:iCs/>
          <w:u w:val="single"/>
        </w:rPr>
        <w:t xml:space="preserve">En collaboration : </w:t>
      </w:r>
    </w:p>
    <w:p w:rsidR="00572DB0" w:rsidRPr="00572DB0" w:rsidRDefault="00572DB0" w:rsidP="00572DB0">
      <w:pPr>
        <w:widowControl w:val="0"/>
        <w:jc w:val="both"/>
        <w:rPr>
          <w:bCs/>
        </w:rPr>
      </w:pPr>
      <w:r>
        <w:rPr>
          <w:bCs/>
          <w:i/>
        </w:rPr>
        <w:t>L’autodétermination</w:t>
      </w:r>
      <w:r>
        <w:rPr>
          <w:bCs/>
        </w:rPr>
        <w:t>, in Mélanges G. Memteau, (en collaboration avec C. Raja) à paraître 2014</w:t>
      </w:r>
    </w:p>
    <w:p w:rsidR="00572DB0" w:rsidRDefault="00572DB0" w:rsidP="00572DB0">
      <w:pPr>
        <w:widowControl w:val="0"/>
        <w:jc w:val="both"/>
        <w:rPr>
          <w:iCs/>
        </w:rPr>
      </w:pPr>
      <w:r>
        <w:rPr>
          <w:b/>
          <w:bCs/>
          <w:iCs/>
        </w:rPr>
        <w:lastRenderedPageBreak/>
        <w:t>« </w:t>
      </w:r>
      <w:r w:rsidRPr="00713EBA">
        <w:rPr>
          <w:bCs/>
          <w:i/>
          <w:iCs/>
        </w:rPr>
        <w:t>Recherches Biomédicale</w:t>
      </w:r>
      <w:r>
        <w:rPr>
          <w:bCs/>
          <w:i/>
          <w:iCs/>
        </w:rPr>
        <w:t xml:space="preserve">s » </w:t>
      </w:r>
      <w:r w:rsidRPr="00713EBA">
        <w:rPr>
          <w:bCs/>
          <w:i/>
          <w:iCs/>
        </w:rPr>
        <w:t xml:space="preserve"> in</w:t>
      </w:r>
      <w:r>
        <w:rPr>
          <w:b/>
          <w:bCs/>
          <w:iCs/>
        </w:rPr>
        <w:t xml:space="preserve"> </w:t>
      </w:r>
      <w:r>
        <w:rPr>
          <w:i/>
        </w:rPr>
        <w:t>Code de la recherche commenté</w:t>
      </w:r>
      <w:r>
        <w:rPr>
          <w:iCs/>
        </w:rPr>
        <w:t>, Litec, 2009</w:t>
      </w:r>
    </w:p>
    <w:p w:rsidR="00572DB0" w:rsidRDefault="00572DB0" w:rsidP="00572DB0">
      <w:pPr>
        <w:widowControl w:val="0"/>
        <w:jc w:val="both"/>
        <w:rPr>
          <w:iCs/>
        </w:rPr>
      </w:pPr>
      <w:r>
        <w:rPr>
          <w:i/>
        </w:rPr>
        <w:t>Dictionnaire de droit du marché</w:t>
      </w:r>
      <w:r>
        <w:rPr>
          <w:iCs/>
        </w:rPr>
        <w:t>, ss. la dir. Du Pr D. Mainguy, préf. C. Lucas de Leyssac,  Ed. ellipses, 2008</w:t>
      </w:r>
    </w:p>
    <w:p w:rsidR="00572DB0" w:rsidRPr="00572DB0" w:rsidRDefault="00572DB0" w:rsidP="00572DB0">
      <w:pPr>
        <w:widowControl w:val="0"/>
        <w:jc w:val="both"/>
      </w:pPr>
      <w:r>
        <w:rPr>
          <w:i/>
          <w:iCs/>
        </w:rPr>
        <w:t>Dictionnaire de Bioéthique</w:t>
      </w:r>
      <w:r>
        <w:t xml:space="preserve">, ss. la direction du Professeur Philippe Pedrot, LGDJ 2006 </w:t>
      </w:r>
    </w:p>
    <w:p w:rsidR="00572DB0" w:rsidRPr="00572DB0" w:rsidRDefault="00572DB0" w:rsidP="00572DB0">
      <w:pPr>
        <w:widowControl w:val="0"/>
        <w:jc w:val="both"/>
        <w:rPr>
          <w:iCs/>
          <w:szCs w:val="20"/>
        </w:rPr>
      </w:pPr>
      <w:r>
        <w:rPr>
          <w:i/>
          <w:iCs/>
        </w:rPr>
        <w:t>La réforme de la planification hospitalière</w:t>
      </w:r>
      <w:r>
        <w:rPr>
          <w:iCs/>
        </w:rPr>
        <w:t>, AJDA 2006, 422, (en collaboration avec B. Apollis).</w:t>
      </w:r>
    </w:p>
    <w:p w:rsidR="00572DB0" w:rsidRPr="00572DB0" w:rsidRDefault="00572DB0" w:rsidP="00572DB0">
      <w:pPr>
        <w:widowControl w:val="0"/>
        <w:jc w:val="both"/>
        <w:rPr>
          <w:iCs/>
          <w:szCs w:val="20"/>
        </w:rPr>
      </w:pPr>
      <w:r>
        <w:rPr>
          <w:i/>
        </w:rPr>
        <w:t>La profession libérale</w:t>
      </w:r>
      <w:r>
        <w:rPr>
          <w:iCs/>
        </w:rPr>
        <w:t xml:space="preserve">, fascicule n° 920, Juris Classeur entreprise individuelle traité (en collaboration avec M. François Vialla)  </w:t>
      </w:r>
    </w:p>
    <w:p w:rsidR="00572DB0" w:rsidRPr="00572DB0" w:rsidRDefault="00572DB0" w:rsidP="00572DB0">
      <w:pPr>
        <w:jc w:val="both"/>
        <w:rPr>
          <w:szCs w:val="20"/>
        </w:rPr>
      </w:pPr>
      <w:r>
        <w:rPr>
          <w:i/>
          <w:iCs/>
        </w:rPr>
        <w:t>L'insoutenable imprécision de la faute caractérisée dans la réparation du handicap de</w:t>
      </w:r>
      <w:r>
        <w:t xml:space="preserve"> naissance, </w:t>
      </w:r>
      <w:r>
        <w:rPr>
          <w:i/>
          <w:iCs/>
        </w:rPr>
        <w:t>in Le handicap</w:t>
      </w:r>
      <w:r>
        <w:t>, Actes du colloque des 6 et 7 novembre 2003, , Presses Univ. Aix-Marseille, juin 2004. (en collaboration avec. M. Benoît Apollis, Mme. Lucille Lambert-Garrel, Melle. Anne Mettetal ).</w:t>
      </w:r>
    </w:p>
    <w:p w:rsidR="00572DB0" w:rsidRPr="00572DB0" w:rsidRDefault="00572DB0" w:rsidP="00572DB0">
      <w:pPr>
        <w:widowControl w:val="0"/>
        <w:jc w:val="both"/>
        <w:rPr>
          <w:iCs/>
          <w:szCs w:val="20"/>
        </w:rPr>
      </w:pPr>
      <w:r>
        <w:rPr>
          <w:i/>
        </w:rPr>
        <w:t xml:space="preserve">Note </w:t>
      </w:r>
      <w:r>
        <w:rPr>
          <w:iCs/>
        </w:rPr>
        <w:t>sous Cass. 1re civ. 23 sept. 2003, JCP 2003, II, 10 179 (en collaboration avec M.  Nicolas Jonquet, Melle. Anne-Catherine Maillols, M. Daniel Mainguy)</w:t>
      </w:r>
    </w:p>
    <w:p w:rsidR="00572DB0" w:rsidRDefault="00572DB0" w:rsidP="00572DB0">
      <w:pPr>
        <w:widowControl w:val="0"/>
        <w:jc w:val="both"/>
        <w:rPr>
          <w:i/>
          <w:szCs w:val="20"/>
        </w:rPr>
      </w:pPr>
      <w:r>
        <w:rPr>
          <w:i/>
        </w:rPr>
        <w:t>Détermination des responsabilités résultant des dommages causés par l'hormone extractive de croissance</w:t>
      </w:r>
      <w:r>
        <w:rPr>
          <w:iCs/>
        </w:rPr>
        <w:t xml:space="preserve"> (ss. la direction de F. Vialla), JCP 2002, II, 10158</w:t>
      </w:r>
      <w:r>
        <w:rPr>
          <w:i/>
        </w:rPr>
        <w:t xml:space="preserve"> </w:t>
      </w:r>
    </w:p>
    <w:p w:rsidR="00572DB0" w:rsidRDefault="00572DB0" w:rsidP="00572DB0">
      <w:pPr>
        <w:widowControl w:val="0"/>
        <w:jc w:val="both"/>
        <w:rPr>
          <w:iCs/>
          <w:szCs w:val="20"/>
        </w:rPr>
      </w:pPr>
    </w:p>
    <w:p w:rsidR="00572DB0" w:rsidRPr="00572DB0" w:rsidRDefault="00572DB0" w:rsidP="00572DB0">
      <w:pPr>
        <w:widowControl w:val="0"/>
        <w:jc w:val="both"/>
        <w:rPr>
          <w:iCs/>
          <w:u w:val="single"/>
        </w:rPr>
      </w:pPr>
      <w:r>
        <w:rPr>
          <w:iCs/>
          <w:u w:val="single"/>
        </w:rPr>
        <w:t xml:space="preserve">Chronique d'actualité : </w:t>
      </w:r>
    </w:p>
    <w:p w:rsidR="00572DB0" w:rsidRPr="00987BE5" w:rsidRDefault="00572DB0" w:rsidP="00572DB0">
      <w:pPr>
        <w:widowControl w:val="0"/>
        <w:jc w:val="both"/>
        <w:rPr>
          <w:iCs/>
          <w:szCs w:val="20"/>
        </w:rPr>
      </w:pPr>
      <w:r w:rsidRPr="00987BE5">
        <w:rPr>
          <w:iCs/>
        </w:rPr>
        <w:t>Depuis 2006</w:t>
      </w:r>
    </w:p>
    <w:p w:rsidR="00572DB0" w:rsidRPr="00572DB0" w:rsidRDefault="00572DB0" w:rsidP="00572DB0">
      <w:pPr>
        <w:widowControl w:val="0"/>
        <w:jc w:val="both"/>
        <w:rPr>
          <w:iCs/>
        </w:rPr>
      </w:pPr>
      <w:r>
        <w:rPr>
          <w:i/>
          <w:iCs/>
        </w:rPr>
        <w:t xml:space="preserve">In </w:t>
      </w:r>
      <w:r>
        <w:rPr>
          <w:iCs/>
        </w:rPr>
        <w:t>Revue « Droit de la consommation », Chroniques de droit de la Santé</w:t>
      </w:r>
    </w:p>
    <w:p w:rsidR="00572DB0" w:rsidRDefault="00572DB0" w:rsidP="00572DB0">
      <w:pPr>
        <w:widowControl w:val="0"/>
        <w:jc w:val="both"/>
        <w:rPr>
          <w:iCs/>
          <w:szCs w:val="20"/>
        </w:rPr>
      </w:pPr>
      <w:r>
        <w:rPr>
          <w:iCs/>
        </w:rPr>
        <w:t xml:space="preserve">Chroniques (2004-2006) </w:t>
      </w:r>
    </w:p>
    <w:p w:rsidR="00572DB0" w:rsidRDefault="00572DB0" w:rsidP="00572DB0">
      <w:pPr>
        <w:widowControl w:val="0"/>
        <w:jc w:val="both"/>
        <w:rPr>
          <w:iCs/>
          <w:szCs w:val="20"/>
        </w:rPr>
      </w:pPr>
    </w:p>
    <w:p w:rsidR="00572DB0" w:rsidRDefault="00572DB0" w:rsidP="00572DB0">
      <w:pPr>
        <w:widowControl w:val="0"/>
        <w:jc w:val="both"/>
        <w:rPr>
          <w:iCs/>
          <w:szCs w:val="20"/>
        </w:rPr>
      </w:pPr>
      <w:r>
        <w:rPr>
          <w:iCs/>
        </w:rPr>
        <w:t xml:space="preserve">Droit des patients </w:t>
      </w:r>
    </w:p>
    <w:p w:rsidR="00572DB0" w:rsidRDefault="00572DB0" w:rsidP="00572DB0">
      <w:pPr>
        <w:widowControl w:val="0"/>
        <w:jc w:val="both"/>
        <w:rPr>
          <w:iCs/>
          <w:szCs w:val="20"/>
        </w:rPr>
      </w:pPr>
      <w:r>
        <w:rPr>
          <w:iCs/>
        </w:rPr>
        <w:t>Responsabilité civile</w:t>
      </w:r>
    </w:p>
    <w:p w:rsidR="00572DB0" w:rsidRDefault="00572DB0" w:rsidP="00572DB0">
      <w:pPr>
        <w:widowControl w:val="0"/>
        <w:jc w:val="both"/>
        <w:rPr>
          <w:iCs/>
          <w:szCs w:val="20"/>
        </w:rPr>
      </w:pPr>
      <w:r>
        <w:rPr>
          <w:iCs/>
        </w:rPr>
        <w:t xml:space="preserve">Déontologie et organisation professionnelle </w:t>
      </w:r>
    </w:p>
    <w:p w:rsidR="00572DB0" w:rsidRDefault="00572DB0" w:rsidP="00572DB0">
      <w:pPr>
        <w:widowControl w:val="0"/>
        <w:jc w:val="both"/>
        <w:rPr>
          <w:iCs/>
          <w:szCs w:val="20"/>
        </w:rPr>
      </w:pPr>
    </w:p>
    <w:p w:rsidR="00572DB0" w:rsidRPr="00572DB0" w:rsidRDefault="00572DB0" w:rsidP="00572DB0">
      <w:pPr>
        <w:rPr>
          <w:rStyle w:val="lev"/>
          <w:b w:val="0"/>
          <w:bCs w:val="0"/>
          <w:color w:val="000000"/>
          <w:spacing w:val="0"/>
          <w:szCs w:val="20"/>
        </w:rPr>
      </w:pPr>
      <w:r>
        <w:rPr>
          <w:i/>
          <w:iCs/>
          <w:color w:val="000000"/>
        </w:rPr>
        <w:t xml:space="preserve"> In </w:t>
      </w:r>
      <w:r>
        <w:rPr>
          <w:color w:val="000000"/>
        </w:rPr>
        <w:t>Revue « </w:t>
      </w:r>
      <w:r>
        <w:rPr>
          <w:rStyle w:val="lev"/>
          <w:b w:val="0"/>
          <w:bCs w:val="0"/>
          <w:color w:val="000000"/>
        </w:rPr>
        <w:t>Actualité du droit de la consommation », Revue trimestrielle</w:t>
      </w:r>
    </w:p>
    <w:p w:rsidR="00572DB0" w:rsidRPr="00572DB0" w:rsidRDefault="00572DB0" w:rsidP="00572DB0">
      <w:pPr>
        <w:rPr>
          <w:color w:val="000000"/>
          <w:spacing w:val="5"/>
          <w:lang w:val="en-US"/>
        </w:rPr>
      </w:pPr>
      <w:r>
        <w:rPr>
          <w:rStyle w:val="lev"/>
          <w:b w:val="0"/>
          <w:bCs w:val="0"/>
          <w:color w:val="000000"/>
          <w:lang w:val="en-GB"/>
        </w:rPr>
        <w:t xml:space="preserve">Act. Dr. Consom. </w:t>
      </w:r>
      <w:r>
        <w:rPr>
          <w:rStyle w:val="lev"/>
          <w:b w:val="0"/>
          <w:bCs w:val="0"/>
          <w:color w:val="000000"/>
          <w:lang w:val="en-US"/>
        </w:rPr>
        <w:t xml:space="preserve">N° 2005/2, p. 18. </w:t>
      </w:r>
    </w:p>
    <w:p w:rsidR="00572DB0" w:rsidRPr="00572DB0" w:rsidRDefault="00572DB0" w:rsidP="00572DB0">
      <w:pPr>
        <w:rPr>
          <w:color w:val="000000"/>
          <w:sz w:val="24"/>
          <w:szCs w:val="24"/>
        </w:rPr>
      </w:pPr>
      <w:r>
        <w:rPr>
          <w:rStyle w:val="Accentuation"/>
          <w:i/>
          <w:caps w:val="0"/>
          <w:color w:val="000000"/>
          <w:sz w:val="24"/>
          <w:szCs w:val="24"/>
        </w:rPr>
        <w:t>Loterie publicitaire: ou la crédulite fait droit..</w:t>
      </w:r>
      <w:r>
        <w:rPr>
          <w:rStyle w:val="Accentuation"/>
          <w:caps w:val="0"/>
          <w:color w:val="000000"/>
          <w:sz w:val="24"/>
          <w:szCs w:val="24"/>
        </w:rPr>
        <w:t xml:space="preserve">.Cass. Civ. 1ere, 29 septembre 2004: n° </w:t>
      </w:r>
      <w:r>
        <w:rPr>
          <w:rStyle w:val="Accentuation"/>
          <w:color w:val="000000"/>
          <w:sz w:val="24"/>
          <w:szCs w:val="24"/>
        </w:rPr>
        <w:t>1-16536</w:t>
      </w:r>
      <w:r>
        <w:rPr>
          <w:rStyle w:val="Accentuation"/>
          <w:caps w:val="0"/>
          <w:color w:val="000000"/>
          <w:sz w:val="24"/>
          <w:szCs w:val="24"/>
        </w:rPr>
        <w:t>Juris data: 025011</w:t>
      </w:r>
    </w:p>
    <w:p w:rsidR="00572DB0" w:rsidRDefault="00572DB0" w:rsidP="00572DB0">
      <w:pPr>
        <w:rPr>
          <w:color w:val="000000"/>
          <w:szCs w:val="20"/>
        </w:rPr>
      </w:pPr>
      <w:r>
        <w:rPr>
          <w:rStyle w:val="lev"/>
          <w:b w:val="0"/>
          <w:bCs w:val="0"/>
          <w:color w:val="000000"/>
        </w:rPr>
        <w:t>Act. Dr. Consom</w:t>
      </w:r>
      <w:r>
        <w:rPr>
          <w:color w:val="000000"/>
        </w:rPr>
        <w:t xml:space="preserve"> </w:t>
      </w:r>
      <w:r>
        <w:rPr>
          <w:rStyle w:val="lev"/>
          <w:b w:val="0"/>
          <w:bCs w:val="0"/>
          <w:color w:val="000000"/>
        </w:rPr>
        <w:t>2005/3, p. 17</w:t>
      </w:r>
    </w:p>
    <w:p w:rsidR="00572DB0" w:rsidRPr="00572DB0" w:rsidRDefault="00572DB0" w:rsidP="00572DB0">
      <w:pPr>
        <w:rPr>
          <w:color w:val="000000"/>
        </w:rPr>
      </w:pPr>
      <w:r>
        <w:rPr>
          <w:rStyle w:val="Accentuation"/>
          <w:i/>
          <w:caps w:val="0"/>
          <w:color w:val="000000"/>
          <w:sz w:val="24"/>
          <w:szCs w:val="24"/>
        </w:rPr>
        <w:t>Loteries publicitaires: action contractuelle pour le quasi-gagnant européen</w:t>
      </w:r>
      <w:r>
        <w:rPr>
          <w:rStyle w:val="Accentuation"/>
          <w:caps w:val="0"/>
          <w:color w:val="000000"/>
          <w:sz w:val="24"/>
          <w:szCs w:val="24"/>
        </w:rPr>
        <w:t>.</w:t>
      </w:r>
      <w:r>
        <w:rPr>
          <w:color w:val="000000"/>
        </w:rPr>
        <w:t xml:space="preserve"> </w:t>
      </w:r>
      <w:r>
        <w:rPr>
          <w:rStyle w:val="Accentuation"/>
          <w:caps w:val="0"/>
          <w:color w:val="000000"/>
          <w:sz w:val="24"/>
          <w:szCs w:val="24"/>
        </w:rPr>
        <w:t>Cjce, 20 janvier 200</w:t>
      </w:r>
      <w:r>
        <w:rPr>
          <w:rStyle w:val="Accentuation"/>
          <w:color w:val="000000"/>
          <w:sz w:val="24"/>
          <w:szCs w:val="24"/>
        </w:rPr>
        <w:t>5</w:t>
      </w:r>
      <w:r>
        <w:rPr>
          <w:rStyle w:val="Accentuation"/>
          <w:caps w:val="0"/>
          <w:color w:val="000000"/>
          <w:sz w:val="24"/>
          <w:szCs w:val="24"/>
        </w:rPr>
        <w:t>, "engler c/ janus versand gmbh", 2ème ch., aff. C-27/02</w:t>
      </w:r>
    </w:p>
    <w:p w:rsidR="00572DB0" w:rsidRDefault="00572DB0" w:rsidP="00572DB0">
      <w:pPr>
        <w:widowControl w:val="0"/>
        <w:jc w:val="both"/>
        <w:rPr>
          <w:szCs w:val="20"/>
        </w:rPr>
      </w:pPr>
      <w:r w:rsidRPr="003E6C24">
        <w:rPr>
          <w:i/>
        </w:rPr>
        <w:lastRenderedPageBreak/>
        <w:t xml:space="preserve">In </w:t>
      </w:r>
      <w:r w:rsidRPr="003E6C24">
        <w:t xml:space="preserve">JCP E. 2004, Suppl. </w:t>
      </w:r>
      <w:r>
        <w:t xml:space="preserve">Cahier du droit des entreprises de Santé, n° 1, 11 mars 2004 : </w:t>
      </w:r>
    </w:p>
    <w:p w:rsidR="00572DB0" w:rsidRDefault="00572DB0" w:rsidP="00572DB0">
      <w:pPr>
        <w:widowControl w:val="0"/>
        <w:jc w:val="both"/>
        <w:rPr>
          <w:iCs/>
          <w:szCs w:val="20"/>
        </w:rPr>
      </w:pPr>
      <w:r>
        <w:rPr>
          <w:iCs/>
        </w:rPr>
        <w:t>-Commentaire du décret n° 2003-701 du 28 juillet 2003 relatif à l'accès aux informations sur les risques pour la santé humaine</w:t>
      </w:r>
    </w:p>
    <w:p w:rsidR="00572DB0" w:rsidRDefault="00572DB0" w:rsidP="00572DB0">
      <w:pPr>
        <w:widowControl w:val="0"/>
        <w:jc w:val="both"/>
        <w:rPr>
          <w:iCs/>
          <w:szCs w:val="20"/>
        </w:rPr>
      </w:pPr>
      <w:r>
        <w:rPr>
          <w:iCs/>
        </w:rPr>
        <w:t>-Observations sous C.E. 4è et 6è sous-sect., 5 mai 2003 "Meroue", req. n° 240010</w:t>
      </w:r>
    </w:p>
    <w:p w:rsidR="00572DB0" w:rsidRDefault="00572DB0" w:rsidP="00572DB0">
      <w:pPr>
        <w:widowControl w:val="0"/>
        <w:jc w:val="both"/>
        <w:rPr>
          <w:iCs/>
          <w:szCs w:val="20"/>
        </w:rPr>
      </w:pPr>
      <w:r>
        <w:rPr>
          <w:iCs/>
        </w:rPr>
        <w:t>- Observations sous C.E. 4è et 6è sous-sect., 30 septembre 2002 "Ottomani", pourvoi. n° 211631</w:t>
      </w:r>
    </w:p>
    <w:p w:rsidR="00572DB0" w:rsidRDefault="00572DB0" w:rsidP="00572DB0">
      <w:pPr>
        <w:widowControl w:val="0"/>
        <w:jc w:val="both"/>
        <w:rPr>
          <w:iCs/>
          <w:szCs w:val="20"/>
        </w:rPr>
      </w:pPr>
      <w:r>
        <w:rPr>
          <w:iCs/>
        </w:rPr>
        <w:t>-Observations sous Cass. 1</w:t>
      </w:r>
      <w:r>
        <w:rPr>
          <w:iCs/>
          <w:vertAlign w:val="superscript"/>
        </w:rPr>
        <w:t>ère</w:t>
      </w:r>
      <w:r>
        <w:rPr>
          <w:iCs/>
        </w:rPr>
        <w:t xml:space="preserve"> civ. 20 nov. 2003, pourvoi n° 01-17977</w:t>
      </w:r>
    </w:p>
    <w:p w:rsidR="00572DB0" w:rsidRDefault="00572DB0" w:rsidP="00572DB0">
      <w:pPr>
        <w:widowControl w:val="0"/>
        <w:jc w:val="both"/>
        <w:rPr>
          <w:iCs/>
          <w:szCs w:val="20"/>
        </w:rPr>
      </w:pPr>
      <w:r>
        <w:rPr>
          <w:iCs/>
        </w:rPr>
        <w:t>-Observation sous Montpellier, 1</w:t>
      </w:r>
      <w:r>
        <w:rPr>
          <w:iCs/>
          <w:vertAlign w:val="superscript"/>
        </w:rPr>
        <w:t>re</w:t>
      </w:r>
      <w:r>
        <w:rPr>
          <w:iCs/>
        </w:rPr>
        <w:t xml:space="preserve"> ch., 18 novembre 2003, inédit. (en collaboration avec Mme. C. Mouly)</w:t>
      </w:r>
    </w:p>
    <w:p w:rsidR="00572DB0" w:rsidRDefault="00572DB0" w:rsidP="00572DB0">
      <w:pPr>
        <w:widowControl w:val="0"/>
        <w:jc w:val="both"/>
        <w:rPr>
          <w:iCs/>
          <w:szCs w:val="20"/>
        </w:rPr>
      </w:pPr>
    </w:p>
    <w:p w:rsidR="00572DB0" w:rsidRDefault="00572DB0" w:rsidP="00572DB0">
      <w:pPr>
        <w:widowControl w:val="0"/>
        <w:jc w:val="both"/>
        <w:rPr>
          <w:szCs w:val="20"/>
        </w:rPr>
      </w:pPr>
      <w:r>
        <w:rPr>
          <w:i/>
        </w:rPr>
        <w:t xml:space="preserve">In </w:t>
      </w:r>
      <w:r>
        <w:t xml:space="preserve">JCP E. 2003, Suppl. Cahier du droit des entreprises de Santé, n°2, 10 avril 2003 : </w:t>
      </w:r>
    </w:p>
    <w:p w:rsidR="00572DB0" w:rsidRDefault="00572DB0" w:rsidP="00572DB0">
      <w:pPr>
        <w:widowControl w:val="0"/>
        <w:jc w:val="both"/>
        <w:rPr>
          <w:szCs w:val="20"/>
        </w:rPr>
      </w:pPr>
    </w:p>
    <w:p w:rsidR="00572DB0" w:rsidRDefault="00572DB0" w:rsidP="00572DB0">
      <w:pPr>
        <w:widowControl w:val="0"/>
        <w:jc w:val="both"/>
        <w:rPr>
          <w:iCs/>
          <w:szCs w:val="20"/>
        </w:rPr>
      </w:pPr>
      <w:r>
        <w:t xml:space="preserve">- </w:t>
      </w:r>
      <w:r>
        <w:rPr>
          <w:iCs/>
        </w:rPr>
        <w:t>Commentaire des article L. 4391-1 et s. de la loi n° 2002-303 du 4 mars 2002</w:t>
      </w:r>
    </w:p>
    <w:p w:rsidR="00572DB0" w:rsidRDefault="00572DB0" w:rsidP="00572DB0">
      <w:pPr>
        <w:widowControl w:val="0"/>
        <w:jc w:val="both"/>
        <w:rPr>
          <w:iCs/>
          <w:szCs w:val="20"/>
        </w:rPr>
      </w:pPr>
      <w:r>
        <w:rPr>
          <w:iCs/>
        </w:rPr>
        <w:t>- Observations sous C.E. 4</w:t>
      </w:r>
      <w:r>
        <w:rPr>
          <w:iCs/>
          <w:vertAlign w:val="superscript"/>
        </w:rPr>
        <w:t>ème</w:t>
      </w:r>
      <w:r>
        <w:rPr>
          <w:iCs/>
        </w:rPr>
        <w:t xml:space="preserve"> et 6</w:t>
      </w:r>
      <w:r>
        <w:rPr>
          <w:iCs/>
          <w:vertAlign w:val="superscript"/>
        </w:rPr>
        <w:t>ème</w:t>
      </w:r>
      <w:r>
        <w:rPr>
          <w:iCs/>
        </w:rPr>
        <w:t xml:space="preserve"> sous-sections, 6 juin 2001 "Fellous" pourvoi n° 202920</w:t>
      </w:r>
    </w:p>
    <w:p w:rsidR="00572DB0" w:rsidRDefault="00572DB0" w:rsidP="00572DB0">
      <w:pPr>
        <w:widowControl w:val="0"/>
        <w:jc w:val="both"/>
        <w:rPr>
          <w:iCs/>
          <w:szCs w:val="20"/>
        </w:rPr>
      </w:pPr>
      <w:r>
        <w:rPr>
          <w:iCs/>
        </w:rPr>
        <w:t>- Commentaire du décret n° 2002-637 du 29 avril 2002 relatif à l'accès aux informations personnelles détenues par les professionnels et les établissements de santé</w:t>
      </w:r>
    </w:p>
    <w:p w:rsidR="00572DB0" w:rsidRDefault="00572DB0" w:rsidP="00572DB0">
      <w:pPr>
        <w:widowControl w:val="0"/>
        <w:jc w:val="both"/>
        <w:rPr>
          <w:iCs/>
          <w:szCs w:val="20"/>
        </w:rPr>
      </w:pPr>
      <w:r>
        <w:rPr>
          <w:iCs/>
        </w:rPr>
        <w:t>-Observations sous C.E. 4</w:t>
      </w:r>
      <w:r>
        <w:rPr>
          <w:iCs/>
          <w:vertAlign w:val="superscript"/>
        </w:rPr>
        <w:t>ème</w:t>
      </w:r>
      <w:r>
        <w:rPr>
          <w:iCs/>
        </w:rPr>
        <w:t xml:space="preserve"> et 6</w:t>
      </w:r>
      <w:r>
        <w:rPr>
          <w:iCs/>
          <w:vertAlign w:val="superscript"/>
        </w:rPr>
        <w:t>ème</w:t>
      </w:r>
      <w:r>
        <w:rPr>
          <w:iCs/>
        </w:rPr>
        <w:t xml:space="preserve"> sous-sections, 11 juillet 2001 "Salinger", pourvoi n° 216341 et "Dame Bonnet", pourvoi n°214061</w:t>
      </w:r>
    </w:p>
    <w:p w:rsidR="00572DB0" w:rsidRDefault="00572DB0" w:rsidP="00572DB0">
      <w:pPr>
        <w:widowControl w:val="0"/>
        <w:jc w:val="both"/>
        <w:rPr>
          <w:iCs/>
          <w:szCs w:val="20"/>
        </w:rPr>
      </w:pPr>
      <w:r>
        <w:rPr>
          <w:iCs/>
        </w:rPr>
        <w:t>- Observations sous Cass. 1</w:t>
      </w:r>
      <w:r>
        <w:rPr>
          <w:iCs/>
          <w:vertAlign w:val="superscript"/>
        </w:rPr>
        <w:t>ère</w:t>
      </w:r>
      <w:r>
        <w:rPr>
          <w:iCs/>
        </w:rPr>
        <w:t xml:space="preserve"> civ., 22 mai 2002, pourvoi n° 0016-305</w:t>
      </w:r>
    </w:p>
    <w:p w:rsidR="00572DB0" w:rsidRDefault="00572DB0" w:rsidP="00572DB0">
      <w:pPr>
        <w:widowControl w:val="0"/>
        <w:jc w:val="both"/>
        <w:rPr>
          <w:iCs/>
          <w:szCs w:val="20"/>
        </w:rPr>
      </w:pPr>
      <w:r>
        <w:rPr>
          <w:iCs/>
        </w:rPr>
        <w:t>- Observations sous Cass. 1</w:t>
      </w:r>
      <w:r>
        <w:rPr>
          <w:iCs/>
          <w:vertAlign w:val="superscript"/>
        </w:rPr>
        <w:t>ère</w:t>
      </w:r>
      <w:r>
        <w:rPr>
          <w:iCs/>
        </w:rPr>
        <w:t xml:space="preserve"> civ., 22 mai 2002, pourvoi n° 0019-817 et Cass. 1</w:t>
      </w:r>
      <w:r>
        <w:rPr>
          <w:iCs/>
          <w:vertAlign w:val="superscript"/>
        </w:rPr>
        <w:t>ère</w:t>
      </w:r>
      <w:r>
        <w:rPr>
          <w:iCs/>
        </w:rPr>
        <w:t xml:space="preserve"> civ., 13 nov. 2002, pourvoi n°01-00377.</w:t>
      </w:r>
    </w:p>
    <w:p w:rsidR="00572DB0" w:rsidRDefault="00572DB0" w:rsidP="00572DB0">
      <w:pPr>
        <w:widowControl w:val="0"/>
        <w:jc w:val="both"/>
        <w:rPr>
          <w:iCs/>
          <w:szCs w:val="20"/>
        </w:rPr>
      </w:pPr>
      <w:r>
        <w:rPr>
          <w:iCs/>
        </w:rPr>
        <w:t>- Observations sous Cass. crim. 26 nov. 2002, pourvoi n° 02-82318</w:t>
      </w:r>
    </w:p>
    <w:p w:rsidR="00572DB0" w:rsidRDefault="00572DB0" w:rsidP="00572DB0">
      <w:pPr>
        <w:spacing w:before="240"/>
        <w:jc w:val="both"/>
        <w:rPr>
          <w:szCs w:val="20"/>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212"/>
      </w:tblGrid>
      <w:tr w:rsidR="00572DB0">
        <w:tc>
          <w:tcPr>
            <w:tcW w:w="9212" w:type="dxa"/>
            <w:tcBorders>
              <w:top w:val="single" w:sz="4" w:space="0" w:color="auto"/>
              <w:left w:val="single" w:sz="4" w:space="0" w:color="auto"/>
              <w:bottom w:val="single" w:sz="4" w:space="0" w:color="auto"/>
              <w:right w:val="single" w:sz="4" w:space="0" w:color="auto"/>
            </w:tcBorders>
          </w:tcPr>
          <w:p w:rsidR="00572DB0" w:rsidRDefault="00572DB0">
            <w:pPr>
              <w:jc w:val="center"/>
              <w:rPr>
                <w:b/>
                <w:bCs/>
                <w:szCs w:val="20"/>
              </w:rPr>
            </w:pPr>
            <w:r>
              <w:rPr>
                <w:b/>
                <w:bCs/>
              </w:rPr>
              <w:t>ACTIVITES D’ENSEIGNEMENT</w:t>
            </w:r>
          </w:p>
        </w:tc>
      </w:tr>
    </w:tbl>
    <w:p w:rsidR="00572DB0" w:rsidRDefault="00572DB0" w:rsidP="00572DB0">
      <w:pPr>
        <w:widowControl w:val="0"/>
        <w:jc w:val="both"/>
        <w:rPr>
          <w:b/>
          <w:bCs/>
          <w:szCs w:val="20"/>
        </w:rPr>
      </w:pPr>
    </w:p>
    <w:p w:rsidR="00572DB0" w:rsidRDefault="00572DB0" w:rsidP="00572DB0">
      <w:pPr>
        <w:widowControl w:val="0"/>
        <w:jc w:val="both"/>
        <w:rPr>
          <w:b/>
          <w:szCs w:val="20"/>
        </w:rPr>
      </w:pPr>
    </w:p>
    <w:p w:rsidR="00572DB0" w:rsidRDefault="00572DB0" w:rsidP="00572DB0">
      <w:pPr>
        <w:widowControl w:val="0"/>
        <w:jc w:val="both"/>
        <w:rPr>
          <w:bCs/>
          <w:szCs w:val="20"/>
        </w:rPr>
      </w:pPr>
      <w:r>
        <w:rPr>
          <w:bCs/>
        </w:rPr>
        <w:t>Maître de conférences, Université Montpellier I</w:t>
      </w:r>
    </w:p>
    <w:p w:rsidR="00572DB0" w:rsidRDefault="00572DB0" w:rsidP="00572DB0">
      <w:pPr>
        <w:widowControl w:val="0"/>
        <w:jc w:val="both"/>
        <w:rPr>
          <w:bCs/>
          <w:szCs w:val="20"/>
        </w:rPr>
      </w:pPr>
    </w:p>
    <w:p w:rsidR="00572DB0" w:rsidRDefault="00572DB0" w:rsidP="00572DB0">
      <w:pPr>
        <w:widowControl w:val="0"/>
        <w:jc w:val="both"/>
        <w:rPr>
          <w:bCs/>
          <w:szCs w:val="20"/>
        </w:rPr>
      </w:pPr>
      <w:r>
        <w:rPr>
          <w:bCs/>
        </w:rPr>
        <w:t>Enseignements de droit civil (1</w:t>
      </w:r>
      <w:r>
        <w:rPr>
          <w:bCs/>
          <w:vertAlign w:val="superscript"/>
        </w:rPr>
        <w:t>re</w:t>
      </w:r>
      <w:r>
        <w:rPr>
          <w:bCs/>
        </w:rPr>
        <w:t xml:space="preserve"> année : introduction au droit, droit des personnes, famille, 2</w:t>
      </w:r>
      <w:r>
        <w:rPr>
          <w:bCs/>
          <w:vertAlign w:val="superscript"/>
        </w:rPr>
        <w:t>ème</w:t>
      </w:r>
      <w:r>
        <w:rPr>
          <w:bCs/>
        </w:rPr>
        <w:t xml:space="preserve"> année : droit des obligations)</w:t>
      </w:r>
    </w:p>
    <w:p w:rsidR="00572DB0" w:rsidRDefault="00572DB0" w:rsidP="00572DB0">
      <w:pPr>
        <w:widowControl w:val="0"/>
        <w:jc w:val="both"/>
        <w:rPr>
          <w:bCs/>
        </w:rPr>
      </w:pPr>
      <w:r>
        <w:rPr>
          <w:bCs/>
        </w:rPr>
        <w:t>Enseignements de droit pénal (droit pénal général), Université de Perpignan (jusqu’en 2011) puis Montpellier II (depuis 2011)</w:t>
      </w:r>
    </w:p>
    <w:p w:rsidR="00572DB0" w:rsidRDefault="00572DB0" w:rsidP="00572DB0">
      <w:pPr>
        <w:widowControl w:val="0"/>
        <w:jc w:val="both"/>
        <w:rPr>
          <w:bCs/>
        </w:rPr>
      </w:pPr>
    </w:p>
    <w:p w:rsidR="00572DB0" w:rsidRPr="00572DB0" w:rsidRDefault="00572DB0" w:rsidP="00572DB0">
      <w:pPr>
        <w:widowControl w:val="0"/>
        <w:jc w:val="both"/>
        <w:rPr>
          <w:bCs/>
        </w:rPr>
      </w:pPr>
      <w:r>
        <w:rPr>
          <w:bCs/>
        </w:rPr>
        <w:t>Cours de droit médical, droit de la santé , droits des patients</w:t>
      </w:r>
    </w:p>
    <w:p w:rsidR="00572DB0" w:rsidRPr="00572DB0" w:rsidRDefault="00572DB0" w:rsidP="00572DB0">
      <w:pPr>
        <w:widowControl w:val="0"/>
        <w:jc w:val="both"/>
        <w:rPr>
          <w:bCs/>
        </w:rPr>
      </w:pPr>
      <w:r>
        <w:rPr>
          <w:szCs w:val="20"/>
        </w:rPr>
        <w:t xml:space="preserve">Cours de  droit des personnes, bioéthique </w:t>
      </w:r>
    </w:p>
    <w:p w:rsidR="00572DB0" w:rsidRDefault="00572DB0" w:rsidP="00572DB0">
      <w:pPr>
        <w:widowControl w:val="0"/>
        <w:jc w:val="both"/>
      </w:pPr>
      <w:r>
        <w:rPr>
          <w:bCs/>
        </w:rPr>
        <w:t xml:space="preserve">Enseignements en </w:t>
      </w:r>
      <w:r>
        <w:t>Master II, droit des Assurances</w:t>
      </w:r>
    </w:p>
    <w:p w:rsidR="00572DB0" w:rsidRDefault="00572DB0" w:rsidP="00572DB0">
      <w:pPr>
        <w:widowControl w:val="0"/>
        <w:jc w:val="both"/>
      </w:pPr>
      <w:r>
        <w:rPr>
          <w:bCs/>
        </w:rPr>
        <w:t xml:space="preserve">Enseignements en </w:t>
      </w:r>
      <w:r>
        <w:t>Master II, Gestion des établissements de santé</w:t>
      </w:r>
    </w:p>
    <w:p w:rsidR="00572DB0" w:rsidRPr="00572DB0" w:rsidRDefault="00572DB0" w:rsidP="00572DB0">
      <w:pPr>
        <w:widowControl w:val="0"/>
        <w:jc w:val="both"/>
      </w:pPr>
      <w:r>
        <w:rPr>
          <w:bCs/>
        </w:rPr>
        <w:t xml:space="preserve">Enseignements en </w:t>
      </w:r>
      <w:r>
        <w:t>Master II PJJ</w:t>
      </w:r>
    </w:p>
    <w:p w:rsidR="00572DB0" w:rsidRDefault="00572DB0" w:rsidP="00572DB0">
      <w:pPr>
        <w:widowControl w:val="0"/>
        <w:jc w:val="both"/>
        <w:rPr>
          <w:szCs w:val="20"/>
        </w:rPr>
      </w:pPr>
      <w:r>
        <w:rPr>
          <w:bCs/>
        </w:rPr>
        <w:t xml:space="preserve">Enseignements en </w:t>
      </w:r>
      <w:r>
        <w:t>Master II recherches Consommation et concurrence, Université Montpellier I et  direction de mémoires.</w:t>
      </w:r>
    </w:p>
    <w:p w:rsidR="00572DB0" w:rsidRPr="00572DB0" w:rsidRDefault="00572DB0" w:rsidP="00572DB0">
      <w:pPr>
        <w:widowControl w:val="0"/>
        <w:jc w:val="both"/>
        <w:rPr>
          <w:rFonts w:ascii="New York" w:hAnsi="New York"/>
          <w:szCs w:val="20"/>
        </w:rPr>
      </w:pPr>
      <w:r>
        <w:rPr>
          <w:bCs/>
        </w:rPr>
        <w:t xml:space="preserve">Enseignements en </w:t>
      </w:r>
      <w:r>
        <w:t xml:space="preserve">Master II recherches Créations immatérielles </w:t>
      </w:r>
    </w:p>
    <w:p w:rsidR="00572DB0" w:rsidRDefault="00572DB0" w:rsidP="00572DB0">
      <w:pPr>
        <w:widowControl w:val="0"/>
        <w:jc w:val="both"/>
      </w:pPr>
      <w:r>
        <w:rPr>
          <w:bCs/>
        </w:rPr>
        <w:t>Enseignements en Master professionnel droit des procédures</w:t>
      </w:r>
    </w:p>
    <w:p w:rsidR="00572DB0" w:rsidRPr="00572DB0" w:rsidRDefault="00572DB0" w:rsidP="00572DB0">
      <w:pPr>
        <w:widowControl w:val="0"/>
        <w:jc w:val="both"/>
        <w:rPr>
          <w:szCs w:val="20"/>
        </w:rPr>
      </w:pPr>
      <w:r>
        <w:rPr>
          <w:bCs/>
        </w:rPr>
        <w:t xml:space="preserve">Enseignements en </w:t>
      </w:r>
      <w:r>
        <w:t>Master II recherches de Droit privé, Université de Kaslik, Liban</w:t>
      </w:r>
    </w:p>
    <w:p w:rsidR="00572DB0" w:rsidRDefault="00572DB0" w:rsidP="00572DB0">
      <w:pPr>
        <w:widowControl w:val="0"/>
        <w:jc w:val="both"/>
        <w:rPr>
          <w:szCs w:val="20"/>
        </w:rPr>
      </w:pPr>
      <w:r>
        <w:t>Interventions à l'I. E. J. de la Faculté de droit de Montpellier :</w:t>
      </w:r>
    </w:p>
    <w:p w:rsidR="00572DB0" w:rsidRDefault="00572DB0" w:rsidP="00572DB0">
      <w:pPr>
        <w:widowControl w:val="0"/>
        <w:jc w:val="both"/>
        <w:rPr>
          <w:szCs w:val="20"/>
        </w:rPr>
      </w:pPr>
      <w:r>
        <w:t>Conférences d’actualisation en droit de la famille, droit des personnes, en droit médical et en droit de la bioéthique  : préparation E.N.M. et pré-C.A.P.A.</w:t>
      </w:r>
    </w:p>
    <w:p w:rsidR="00572DB0" w:rsidRPr="00572DB0" w:rsidRDefault="00572DB0" w:rsidP="00572DB0">
      <w:pPr>
        <w:widowControl w:val="0"/>
        <w:jc w:val="both"/>
        <w:rPr>
          <w:szCs w:val="20"/>
        </w:rPr>
      </w:pPr>
      <w:r>
        <w:t>Correction d’exercices pratiques.</w:t>
      </w:r>
    </w:p>
    <w:p w:rsidR="00572DB0" w:rsidRDefault="00572DB0" w:rsidP="00572DB0">
      <w:r>
        <w:t xml:space="preserve">Interventions à la Faculté d'odontologie, de médecine </w:t>
      </w:r>
    </w:p>
    <w:p w:rsidR="00572DB0" w:rsidRDefault="00572DB0" w:rsidP="00572DB0">
      <w:r>
        <w:t>La responsabilité de l'odontologiste, D.U de santé publique (direction Pr. C. Perrin)</w:t>
      </w:r>
    </w:p>
    <w:p w:rsidR="00572DB0" w:rsidRDefault="00572DB0" w:rsidP="00572DB0">
      <w:pPr>
        <w:rPr>
          <w:szCs w:val="20"/>
        </w:rPr>
      </w:pPr>
      <w:r>
        <w:t xml:space="preserve">Droits des personnes et encadrement de la fin de vie </w:t>
      </w:r>
    </w:p>
    <w:p w:rsidR="00572DB0" w:rsidRDefault="00572DB0" w:rsidP="00572DB0">
      <w:pPr>
        <w:rPr>
          <w:szCs w:val="20"/>
        </w:rPr>
      </w:pPr>
      <w:r>
        <w:t xml:space="preserve">Chargé de cours à </w:t>
      </w:r>
      <w:r>
        <w:rPr>
          <w:b/>
        </w:rPr>
        <w:t>L’école Nationale de Santé Publique</w:t>
      </w:r>
      <w:r>
        <w:t xml:space="preserve"> (ENSP, Rennes)</w:t>
      </w:r>
    </w:p>
    <w:p w:rsidR="00572DB0" w:rsidRDefault="00572DB0" w:rsidP="00572DB0">
      <w:pPr>
        <w:spacing w:before="240"/>
        <w:rPr>
          <w:b/>
          <w:bCs/>
          <w:szCs w:val="20"/>
        </w:rPr>
      </w:pPr>
    </w:p>
    <w:p w:rsidR="00572DB0" w:rsidRDefault="00572DB0" w:rsidP="00572DB0">
      <w:pPr>
        <w:spacing w:before="240"/>
        <w:rPr>
          <w:b/>
          <w:bCs/>
          <w:szCs w:val="20"/>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212"/>
      </w:tblGrid>
      <w:tr w:rsidR="00572DB0">
        <w:tc>
          <w:tcPr>
            <w:tcW w:w="9212" w:type="dxa"/>
            <w:tcBorders>
              <w:top w:val="single" w:sz="4" w:space="0" w:color="auto"/>
              <w:left w:val="single" w:sz="4" w:space="0" w:color="auto"/>
              <w:bottom w:val="single" w:sz="4" w:space="0" w:color="auto"/>
              <w:right w:val="single" w:sz="4" w:space="0" w:color="auto"/>
            </w:tcBorders>
          </w:tcPr>
          <w:p w:rsidR="00572DB0" w:rsidRDefault="00572DB0">
            <w:pPr>
              <w:jc w:val="center"/>
              <w:rPr>
                <w:b/>
                <w:bCs/>
                <w:szCs w:val="20"/>
              </w:rPr>
            </w:pPr>
            <w:r>
              <w:rPr>
                <w:b/>
                <w:bCs/>
              </w:rPr>
              <w:t>ACTIVITES DE RECHERCHE</w:t>
            </w:r>
          </w:p>
        </w:tc>
      </w:tr>
    </w:tbl>
    <w:p w:rsidR="00572DB0" w:rsidRDefault="00572DB0" w:rsidP="00572DB0">
      <w:pPr>
        <w:jc w:val="both"/>
        <w:rPr>
          <w:szCs w:val="20"/>
        </w:rPr>
      </w:pPr>
    </w:p>
    <w:p w:rsidR="00572DB0" w:rsidRDefault="00572DB0" w:rsidP="00572DB0">
      <w:pPr>
        <w:jc w:val="both"/>
        <w:rPr>
          <w:b/>
        </w:rPr>
      </w:pPr>
      <w:r>
        <w:rPr>
          <w:b/>
        </w:rPr>
        <w:t xml:space="preserve">Direction de thèses de doctorat de droit privé : </w:t>
      </w:r>
    </w:p>
    <w:p w:rsidR="00572DB0" w:rsidRDefault="00572DB0" w:rsidP="00572DB0">
      <w:pPr>
        <w:jc w:val="both"/>
        <w:rPr>
          <w:b/>
        </w:rPr>
      </w:pPr>
    </w:p>
    <w:p w:rsidR="00572DB0" w:rsidRDefault="00572DB0" w:rsidP="00572DB0">
      <w:pPr>
        <w:jc w:val="both"/>
        <w:rPr>
          <w:b/>
        </w:rPr>
      </w:pPr>
      <w:r>
        <w:rPr>
          <w:b/>
        </w:rPr>
        <w:t>Thèses en cours</w:t>
      </w:r>
    </w:p>
    <w:p w:rsidR="00572DB0" w:rsidRDefault="00572DB0" w:rsidP="00572DB0">
      <w:pPr>
        <w:jc w:val="both"/>
        <w:rPr>
          <w:b/>
        </w:rPr>
      </w:pPr>
    </w:p>
    <w:p w:rsidR="00572DB0" w:rsidRPr="00572DB0" w:rsidRDefault="00572DB0" w:rsidP="00572DB0">
      <w:pPr>
        <w:jc w:val="both"/>
      </w:pPr>
      <w:r w:rsidRPr="00B138B5">
        <w:rPr>
          <w:i/>
        </w:rPr>
        <w:t>L’autodétermination</w:t>
      </w:r>
      <w:r w:rsidRPr="00B138B5">
        <w:t xml:space="preserve">,  M. Pierre Bordais (thèse en cours) </w:t>
      </w:r>
    </w:p>
    <w:p w:rsidR="00572DB0" w:rsidRPr="00572DB0" w:rsidRDefault="00572DB0" w:rsidP="00572DB0">
      <w:pPr>
        <w:jc w:val="both"/>
      </w:pPr>
      <w:r w:rsidRPr="00994960">
        <w:rPr>
          <w:i/>
        </w:rPr>
        <w:lastRenderedPageBreak/>
        <w:t>Les contrats d’exercice et d’association de la profession médicale</w:t>
      </w:r>
      <w:r w:rsidRPr="00994960">
        <w:rPr>
          <w:b/>
        </w:rPr>
        <w:t xml:space="preserve">, </w:t>
      </w:r>
      <w:r>
        <w:rPr>
          <w:b/>
        </w:rPr>
        <w:t xml:space="preserve"> </w:t>
      </w:r>
      <w:r w:rsidRPr="00994960">
        <w:t>Melle.</w:t>
      </w:r>
      <w:r>
        <w:t xml:space="preserve"> C</w:t>
      </w:r>
      <w:r w:rsidRPr="00994960">
        <w:t>.  N’Diaye (thèse en cours)</w:t>
      </w:r>
    </w:p>
    <w:p w:rsidR="00572DB0" w:rsidRPr="00572DB0" w:rsidRDefault="00572DB0" w:rsidP="00572DB0">
      <w:pPr>
        <w:jc w:val="both"/>
      </w:pPr>
      <w:r w:rsidRPr="00994960">
        <w:rPr>
          <w:i/>
        </w:rPr>
        <w:t>L</w:t>
      </w:r>
      <w:r w:rsidRPr="007C13E9">
        <w:rPr>
          <w:i/>
        </w:rPr>
        <w:t>a folie et le droit</w:t>
      </w:r>
      <w:r w:rsidRPr="007C13E9">
        <w:t>, M. Th. Puech Maurel</w:t>
      </w:r>
      <w:r>
        <w:t xml:space="preserve"> (thèse en cours)</w:t>
      </w:r>
    </w:p>
    <w:p w:rsidR="00572DB0" w:rsidRDefault="00572DB0" w:rsidP="00572DB0">
      <w:pPr>
        <w:jc w:val="both"/>
      </w:pPr>
      <w:r w:rsidRPr="00CC7849">
        <w:rPr>
          <w:i/>
        </w:rPr>
        <w:t xml:space="preserve">Le droit de l’environnement </w:t>
      </w:r>
      <w:r>
        <w:rPr>
          <w:i/>
        </w:rPr>
        <w:t xml:space="preserve">face au </w:t>
      </w:r>
      <w:r w:rsidRPr="00CC7849">
        <w:rPr>
          <w:i/>
        </w:rPr>
        <w:t xml:space="preserve"> droit de la concurrence, </w:t>
      </w:r>
      <w:r>
        <w:t>Melle. J. Bachri (thèse en cours)</w:t>
      </w:r>
    </w:p>
    <w:p w:rsidR="00572DB0" w:rsidRPr="00572DB0" w:rsidRDefault="00572DB0" w:rsidP="00572DB0">
      <w:pPr>
        <w:jc w:val="both"/>
      </w:pPr>
      <w:r w:rsidRPr="007E49C0">
        <w:rPr>
          <w:i/>
        </w:rPr>
        <w:t>La réglementation professionnelle et les ordres concurrentiels</w:t>
      </w:r>
      <w:r>
        <w:t>, Melle. P. Catelot (thèse en cours)</w:t>
      </w:r>
    </w:p>
    <w:p w:rsidR="00572DB0" w:rsidRPr="00B138B5" w:rsidRDefault="00572DB0" w:rsidP="00572DB0">
      <w:pPr>
        <w:jc w:val="both"/>
        <w:rPr>
          <w:b/>
        </w:rPr>
      </w:pPr>
      <w:r w:rsidRPr="00B138B5">
        <w:rPr>
          <w:b/>
        </w:rPr>
        <w:t>Thèses soutenues </w:t>
      </w:r>
    </w:p>
    <w:p w:rsidR="00572DB0" w:rsidRDefault="00572DB0" w:rsidP="00572DB0">
      <w:pPr>
        <w:jc w:val="both"/>
        <w:rPr>
          <w:i/>
        </w:rPr>
      </w:pPr>
    </w:p>
    <w:p w:rsidR="00572DB0" w:rsidRPr="00B138B5" w:rsidRDefault="00572DB0" w:rsidP="00572DB0">
      <w:pPr>
        <w:jc w:val="both"/>
      </w:pPr>
      <w:r>
        <w:rPr>
          <w:i/>
        </w:rPr>
        <w:t xml:space="preserve">La prise en considération juridique de la personne handicapée, </w:t>
      </w:r>
      <w:r>
        <w:t xml:space="preserve"> Thèse soutenue par Melle. Miryam El Amrani, le 19 décembre 2014. </w:t>
      </w:r>
    </w:p>
    <w:p w:rsidR="00572DB0" w:rsidRPr="00572DB0" w:rsidRDefault="00572DB0" w:rsidP="00572DB0">
      <w:pPr>
        <w:jc w:val="both"/>
      </w:pPr>
      <w:r w:rsidRPr="00BD0DC8">
        <w:rPr>
          <w:i/>
        </w:rPr>
        <w:t>La proportionnalité en droit de la Santé</w:t>
      </w:r>
      <w:r>
        <w:t>, Thèse soutenue par Melle. Z. Garcia-Lecoeur, le 6 décembre 2014</w:t>
      </w:r>
    </w:p>
    <w:p w:rsidR="00572DB0" w:rsidRPr="00572DB0" w:rsidRDefault="00572DB0" w:rsidP="00572DB0">
      <w:pPr>
        <w:jc w:val="both"/>
      </w:pPr>
      <w:r>
        <w:rPr>
          <w:i/>
        </w:rPr>
        <w:t>Les clauses d’imprévision¸</w:t>
      </w:r>
      <w:r>
        <w:t xml:space="preserve"> Thèse soutenue  par Mme Charlotte Ceccaldi-Monteil, le 29 mars 2014.</w:t>
      </w:r>
    </w:p>
    <w:p w:rsidR="00572DB0" w:rsidRPr="00572DB0" w:rsidRDefault="00572DB0" w:rsidP="00572DB0">
      <w:pPr>
        <w:jc w:val="both"/>
        <w:rPr>
          <w:szCs w:val="20"/>
        </w:rPr>
      </w:pPr>
      <w:r>
        <w:rPr>
          <w:i/>
        </w:rPr>
        <w:t>Le marché pertinent du médicament, contribution à une étude du droit de la concurrence appliquée au produit pharmaceutique</w:t>
      </w:r>
      <w:r>
        <w:t>,  Thèse soutenue par M. Fabien Charissoux, le 13 décembre 2013.</w:t>
      </w:r>
    </w:p>
    <w:p w:rsidR="00572DB0" w:rsidRDefault="00572DB0" w:rsidP="00572DB0">
      <w:pPr>
        <w:jc w:val="both"/>
        <w:rPr>
          <w:szCs w:val="20"/>
        </w:rPr>
      </w:pPr>
      <w:r w:rsidRPr="00CC7849">
        <w:rPr>
          <w:i/>
        </w:rPr>
        <w:t>L’indemnisation des victimes d’accidents thérapeutiques</w:t>
      </w:r>
      <w:r>
        <w:t>, Thèse soutenue par Mme. D. Jaquet-Francillon, le 6 décembre 2013.</w:t>
      </w:r>
    </w:p>
    <w:p w:rsidR="00572DB0" w:rsidRDefault="00572DB0" w:rsidP="00572DB0">
      <w:pPr>
        <w:jc w:val="both"/>
        <w:rPr>
          <w:szCs w:val="20"/>
        </w:rPr>
      </w:pPr>
    </w:p>
    <w:p w:rsidR="00572DB0" w:rsidRDefault="00572DB0" w:rsidP="00572DB0">
      <w:pPr>
        <w:jc w:val="both"/>
        <w:rPr>
          <w:b/>
          <w:bCs/>
          <w:szCs w:val="20"/>
        </w:rPr>
      </w:pPr>
    </w:p>
    <w:p w:rsidR="00572DB0" w:rsidRDefault="00572DB0" w:rsidP="00572DB0">
      <w:pPr>
        <w:jc w:val="both"/>
        <w:rPr>
          <w:b/>
          <w:bCs/>
          <w:szCs w:val="20"/>
        </w:rPr>
      </w:pPr>
      <w:r>
        <w:rPr>
          <w:b/>
          <w:bCs/>
        </w:rPr>
        <w:t>Co-direction du DU droit et santé, Université Montpellier I</w:t>
      </w:r>
    </w:p>
    <w:p w:rsidR="00572DB0" w:rsidRDefault="00572DB0" w:rsidP="00572DB0">
      <w:pPr>
        <w:jc w:val="both"/>
        <w:rPr>
          <w:bCs/>
          <w:iCs/>
        </w:rPr>
      </w:pPr>
    </w:p>
    <w:p w:rsidR="00572DB0" w:rsidRDefault="00572DB0" w:rsidP="00572DB0">
      <w:pPr>
        <w:jc w:val="both"/>
        <w:rPr>
          <w:bCs/>
        </w:rPr>
      </w:pPr>
    </w:p>
    <w:p w:rsidR="00572DB0" w:rsidRPr="00572DB0" w:rsidRDefault="00572DB0" w:rsidP="00572DB0">
      <w:pPr>
        <w:jc w:val="both"/>
        <w:rPr>
          <w:bCs/>
          <w:iCs/>
          <w:szCs w:val="20"/>
        </w:rPr>
      </w:pPr>
      <w:r>
        <w:rPr>
          <w:bCs/>
          <w:iCs/>
        </w:rPr>
        <w:t>Co-organisateur et co-directeur scientifique du colloque</w:t>
      </w:r>
      <w:r>
        <w:rPr>
          <w:b/>
          <w:bCs/>
          <w:i/>
        </w:rPr>
        <w:t xml:space="preserve"> Droit de la santé et personnes privées de libertés, </w:t>
      </w:r>
      <w:r>
        <w:rPr>
          <w:b/>
          <w:i/>
        </w:rPr>
        <w:t xml:space="preserve"> </w:t>
      </w:r>
      <w:r>
        <w:rPr>
          <w:bCs/>
          <w:iCs/>
        </w:rPr>
        <w:t>organisé le 5</w:t>
      </w:r>
      <w:r>
        <w:rPr>
          <w:bCs/>
          <w:iCs/>
          <w:vertAlign w:val="superscript"/>
        </w:rPr>
        <w:t xml:space="preserve"> </w:t>
      </w:r>
      <w:r>
        <w:rPr>
          <w:bCs/>
          <w:iCs/>
        </w:rPr>
        <w:t>octobre 2012  par le Centre Hospitalier de Béziers</w:t>
      </w:r>
    </w:p>
    <w:p w:rsidR="00572DB0" w:rsidRDefault="00572DB0" w:rsidP="00572DB0">
      <w:pPr>
        <w:jc w:val="both"/>
        <w:rPr>
          <w:bCs/>
          <w:iCs/>
        </w:rPr>
      </w:pPr>
      <w:r>
        <w:rPr>
          <w:bCs/>
          <w:iCs/>
        </w:rPr>
        <w:t xml:space="preserve">Organisateur du </w:t>
      </w:r>
      <w:r w:rsidRPr="00CC7849">
        <w:rPr>
          <w:b/>
          <w:bCs/>
          <w:i/>
          <w:iCs/>
        </w:rPr>
        <w:t>Forum des métiers du droit</w:t>
      </w:r>
      <w:r>
        <w:rPr>
          <w:bCs/>
          <w:iCs/>
        </w:rPr>
        <w:t xml:space="preserve">, IUT Narbonne, 26 mars 2010 </w:t>
      </w:r>
    </w:p>
    <w:p w:rsidR="00572DB0" w:rsidRPr="00572DB0" w:rsidRDefault="00572DB0" w:rsidP="00572DB0">
      <w:pPr>
        <w:jc w:val="both"/>
        <w:rPr>
          <w:bCs/>
          <w:iCs/>
          <w:szCs w:val="20"/>
        </w:rPr>
      </w:pPr>
      <w:r>
        <w:rPr>
          <w:bCs/>
          <w:iCs/>
        </w:rPr>
        <w:t>Co-organisateur et co-directeur scientifique du colloque</w:t>
      </w:r>
      <w:r>
        <w:rPr>
          <w:b/>
          <w:bCs/>
          <w:i/>
        </w:rPr>
        <w:t xml:space="preserve"> Médecine de prévention et Libertés, éthique des décisions</w:t>
      </w:r>
      <w:r>
        <w:rPr>
          <w:b/>
          <w:i/>
        </w:rPr>
        <w:t xml:space="preserve">, </w:t>
      </w:r>
      <w:r>
        <w:rPr>
          <w:bCs/>
          <w:iCs/>
        </w:rPr>
        <w:t>organisé le 1</w:t>
      </w:r>
      <w:r w:rsidRPr="000C11F7">
        <w:rPr>
          <w:bCs/>
          <w:iCs/>
          <w:vertAlign w:val="superscript"/>
        </w:rPr>
        <w:t>er</w:t>
      </w:r>
      <w:r>
        <w:rPr>
          <w:bCs/>
          <w:iCs/>
        </w:rPr>
        <w:t xml:space="preserve"> octobre 2009  par le Centre Hospitalier de Béziers</w:t>
      </w:r>
    </w:p>
    <w:p w:rsidR="00572DB0" w:rsidRDefault="00572DB0" w:rsidP="00572DB0">
      <w:pPr>
        <w:jc w:val="both"/>
        <w:rPr>
          <w:bCs/>
          <w:iCs/>
          <w:szCs w:val="20"/>
        </w:rPr>
      </w:pPr>
      <w:r>
        <w:rPr>
          <w:bCs/>
          <w:iCs/>
        </w:rPr>
        <w:t>Co-organisateur et co-directeur scientifique du colloque</w:t>
      </w:r>
      <w:r>
        <w:rPr>
          <w:b/>
          <w:bCs/>
          <w:i/>
        </w:rPr>
        <w:t xml:space="preserve"> La capacité à consentir à l’acte médical</w:t>
      </w:r>
      <w:r>
        <w:rPr>
          <w:b/>
          <w:i/>
        </w:rPr>
        <w:t xml:space="preserve">, </w:t>
      </w:r>
      <w:r>
        <w:rPr>
          <w:bCs/>
          <w:iCs/>
        </w:rPr>
        <w:t>organisé le 20 septembre 2007 par le Centre Hospitalier de Béziers</w:t>
      </w:r>
    </w:p>
    <w:p w:rsidR="00572DB0" w:rsidRDefault="00572DB0" w:rsidP="00572DB0">
      <w:pPr>
        <w:spacing w:before="240"/>
        <w:jc w:val="both"/>
        <w:rPr>
          <w:bCs/>
          <w:iCs/>
          <w:szCs w:val="20"/>
        </w:rPr>
      </w:pPr>
      <w:r>
        <w:rPr>
          <w:bCs/>
          <w:iCs/>
        </w:rPr>
        <w:t>Co-organisateur  et co-directeur scientifique du colloque</w:t>
      </w:r>
      <w:r>
        <w:rPr>
          <w:b/>
          <w:bCs/>
          <w:i/>
        </w:rPr>
        <w:t xml:space="preserve"> La Responsabilité médicale, état des lieux</w:t>
      </w:r>
      <w:r>
        <w:rPr>
          <w:b/>
          <w:i/>
        </w:rPr>
        <w:t xml:space="preserve">, </w:t>
      </w:r>
      <w:r>
        <w:rPr>
          <w:bCs/>
          <w:iCs/>
        </w:rPr>
        <w:t xml:space="preserve">organisé le 8 décembre 2006 par la Faculté de droit de Montpellier (DU droit &amp; Santé). </w:t>
      </w:r>
    </w:p>
    <w:p w:rsidR="00572DB0" w:rsidRPr="00572DB0" w:rsidRDefault="00572DB0" w:rsidP="00572DB0">
      <w:pPr>
        <w:jc w:val="both"/>
        <w:rPr>
          <w:bCs/>
          <w:iCs/>
          <w:szCs w:val="20"/>
        </w:rPr>
      </w:pPr>
      <w:r>
        <w:rPr>
          <w:bCs/>
          <w:iCs/>
        </w:rPr>
        <w:t xml:space="preserve">Co-organisateur  et co-directeur scientifique du colloque </w:t>
      </w:r>
      <w:r>
        <w:rPr>
          <w:b/>
          <w:bCs/>
          <w:i/>
        </w:rPr>
        <w:t xml:space="preserve"> L’éthique de l’humanitaire en santé</w:t>
      </w:r>
      <w:r>
        <w:rPr>
          <w:b/>
          <w:i/>
        </w:rPr>
        <w:t xml:space="preserve">, </w:t>
      </w:r>
      <w:r>
        <w:rPr>
          <w:bCs/>
          <w:iCs/>
        </w:rPr>
        <w:t xml:space="preserve">organisé le 12 avril 2006 par le Centre Hospitalier de Béziers. </w:t>
      </w:r>
    </w:p>
    <w:p w:rsidR="00572DB0" w:rsidRDefault="00572DB0" w:rsidP="00572DB0">
      <w:pPr>
        <w:jc w:val="both"/>
        <w:rPr>
          <w:bCs/>
          <w:iCs/>
          <w:szCs w:val="20"/>
        </w:rPr>
      </w:pPr>
      <w:r>
        <w:rPr>
          <w:bCs/>
          <w:iCs/>
        </w:rPr>
        <w:lastRenderedPageBreak/>
        <w:t xml:space="preserve">Co-organisateur  et co-directeur scientifique du colloque </w:t>
      </w:r>
      <w:r>
        <w:rPr>
          <w:b/>
          <w:bCs/>
          <w:i/>
        </w:rPr>
        <w:t>10 ans de lois de bioéthique en France</w:t>
      </w:r>
      <w:r>
        <w:rPr>
          <w:b/>
          <w:i/>
        </w:rPr>
        <w:t xml:space="preserve">, </w:t>
      </w:r>
      <w:r>
        <w:rPr>
          <w:bCs/>
          <w:iCs/>
        </w:rPr>
        <w:t>organisé le 15 avril 2005 par le Centre Droit&amp;Santé et le Centre Hospitalier de Béziers, publication décembre 2005, aux Ed. Hospitalières, n° Spécial Revue Générale de Droit Médical.</w:t>
      </w:r>
    </w:p>
    <w:p w:rsidR="00572DB0" w:rsidRDefault="00572DB0" w:rsidP="00572DB0">
      <w:pPr>
        <w:jc w:val="both"/>
        <w:rPr>
          <w:bCs/>
          <w:iCs/>
          <w:szCs w:val="20"/>
        </w:rPr>
      </w:pPr>
      <w:r>
        <w:rPr>
          <w:bCs/>
          <w:iCs/>
        </w:rPr>
        <w:t>Co-organisateur et directeur scientifique du colloque</w:t>
      </w:r>
      <w:r>
        <w:rPr>
          <w:b/>
          <w:i/>
        </w:rPr>
        <w:t xml:space="preserve"> La vaccination, </w:t>
      </w:r>
      <w:r>
        <w:rPr>
          <w:bCs/>
          <w:iCs/>
        </w:rPr>
        <w:t xml:space="preserve">organisé le 19 juin 2004 par le Centre Droit&amp;Santé, Université Montpellier I. </w:t>
      </w:r>
    </w:p>
    <w:p w:rsidR="00572DB0" w:rsidRPr="00572DB0" w:rsidRDefault="00572DB0" w:rsidP="00572DB0">
      <w:pPr>
        <w:jc w:val="both"/>
        <w:rPr>
          <w:bCs/>
          <w:iCs/>
          <w:szCs w:val="20"/>
        </w:rPr>
      </w:pPr>
      <w:r>
        <w:rPr>
          <w:bCs/>
          <w:iCs/>
        </w:rPr>
        <w:t>Co-organisateur et co-directeur scientifique du colloque</w:t>
      </w:r>
      <w:r>
        <w:rPr>
          <w:b/>
          <w:i/>
        </w:rPr>
        <w:t xml:space="preserve"> L’Ethique et la Mort, </w:t>
      </w:r>
      <w:r>
        <w:rPr>
          <w:bCs/>
          <w:iCs/>
        </w:rPr>
        <w:t>organisé le 16 avril 2004 par le Centre Droit&amp;Santé et le Centre Hospitalier de Béziers, publication septembre 2004, aux Ed. Hospitalières, n° Spécial Revue Générale de Droit Médical.</w:t>
      </w:r>
    </w:p>
    <w:p w:rsidR="00572DB0" w:rsidRDefault="00572DB0" w:rsidP="00572DB0">
      <w:pPr>
        <w:jc w:val="both"/>
        <w:rPr>
          <w:bCs/>
          <w:iCs/>
          <w:szCs w:val="20"/>
        </w:rPr>
      </w:pPr>
      <w:r>
        <w:rPr>
          <w:bCs/>
        </w:rPr>
        <w:t xml:space="preserve">Co-organisateur du Colloque sur </w:t>
      </w:r>
      <w:r>
        <w:rPr>
          <w:b/>
          <w:bCs/>
          <w:i/>
        </w:rPr>
        <w:t>Le Droit des Malades et la qualité du Système de Santé</w:t>
      </w:r>
      <w:r>
        <w:rPr>
          <w:bCs/>
          <w:i/>
        </w:rPr>
        <w:t xml:space="preserve">, Montpellier 23 mai 2003, </w:t>
      </w:r>
      <w:r>
        <w:rPr>
          <w:bCs/>
          <w:iCs/>
        </w:rPr>
        <w:t xml:space="preserve">actes publiés aux Ed. Hospitalières, n° Spécial Revue Générale de Droit Médical,  fév. 2003. </w:t>
      </w:r>
    </w:p>
    <w:p w:rsidR="00572DB0" w:rsidRDefault="00572DB0" w:rsidP="00572DB0">
      <w:pPr>
        <w:spacing w:before="240"/>
        <w:jc w:val="both"/>
        <w:rPr>
          <w:b/>
          <w:bCs/>
          <w:szCs w:val="20"/>
        </w:rPr>
      </w:pPr>
      <w:r>
        <w:rPr>
          <w:bCs/>
        </w:rPr>
        <w:t xml:space="preserve">Co-organisateur du Concours international </w:t>
      </w:r>
      <w:r>
        <w:rPr>
          <w:b/>
        </w:rPr>
        <w:t xml:space="preserve"> </w:t>
      </w:r>
      <w:r>
        <w:rPr>
          <w:b/>
          <w:i/>
        </w:rPr>
        <w:t xml:space="preserve">Les 24 heures du Droit de la Santé, </w:t>
      </w:r>
      <w:r>
        <w:t>réunissant 100 étudiants de 3</w:t>
      </w:r>
      <w:r>
        <w:rPr>
          <w:vertAlign w:val="superscript"/>
        </w:rPr>
        <w:t>ème</w:t>
      </w:r>
      <w:r>
        <w:t xml:space="preserve"> cycle, Montpellier mai 2003, mai 2004, mai 2005, mai 2006.</w:t>
      </w:r>
    </w:p>
    <w:p w:rsidR="00572DB0" w:rsidRDefault="00572DB0" w:rsidP="00572DB0">
      <w:pPr>
        <w:spacing w:before="240"/>
        <w:jc w:val="both"/>
        <w:rPr>
          <w:b/>
          <w:bCs/>
          <w:szCs w:val="20"/>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212"/>
      </w:tblGrid>
      <w:tr w:rsidR="00572DB0">
        <w:tc>
          <w:tcPr>
            <w:tcW w:w="9212" w:type="dxa"/>
            <w:tcBorders>
              <w:top w:val="single" w:sz="4" w:space="0" w:color="auto"/>
              <w:left w:val="single" w:sz="4" w:space="0" w:color="auto"/>
              <w:bottom w:val="single" w:sz="4" w:space="0" w:color="auto"/>
              <w:right w:val="single" w:sz="4" w:space="0" w:color="auto"/>
            </w:tcBorders>
          </w:tcPr>
          <w:p w:rsidR="00572DB0" w:rsidRDefault="00572DB0">
            <w:pPr>
              <w:jc w:val="center"/>
              <w:rPr>
                <w:b/>
                <w:bCs/>
                <w:szCs w:val="20"/>
              </w:rPr>
            </w:pPr>
            <w:r>
              <w:rPr>
                <w:b/>
                <w:bCs/>
              </w:rPr>
              <w:t>ACTIVITES D’ADMINISTRATION ET AUTRES RESPONSABILITES COLLECTIVES</w:t>
            </w:r>
          </w:p>
        </w:tc>
      </w:tr>
    </w:tbl>
    <w:p w:rsidR="00572DB0" w:rsidRPr="00341E07" w:rsidRDefault="00572DB0" w:rsidP="00572DB0">
      <w:pPr>
        <w:spacing w:before="240"/>
        <w:rPr>
          <w:szCs w:val="20"/>
        </w:rPr>
      </w:pPr>
      <w:r>
        <w:tab/>
      </w:r>
    </w:p>
    <w:p w:rsidR="00572DB0" w:rsidRDefault="00572DB0" w:rsidP="00572DB0">
      <w:pPr>
        <w:widowControl w:val="0"/>
        <w:jc w:val="both"/>
      </w:pPr>
      <w:r>
        <w:t>Responsable du parcours M1 droit et gestion sanitaire (CESEGH – ISEM, Montpellier I)</w:t>
      </w:r>
    </w:p>
    <w:p w:rsidR="00572DB0" w:rsidRPr="00572DB0" w:rsidRDefault="00572DB0" w:rsidP="00572DB0">
      <w:pPr>
        <w:widowControl w:val="0"/>
        <w:jc w:val="both"/>
      </w:pPr>
      <w:r>
        <w:t>Chef de département de l’IUT Carrières juridiques, Narbonne, (2009-2011)</w:t>
      </w:r>
    </w:p>
    <w:p w:rsidR="00572DB0" w:rsidRDefault="00572DB0" w:rsidP="00572DB0">
      <w:pPr>
        <w:widowControl w:val="0"/>
        <w:jc w:val="both"/>
      </w:pPr>
      <w:r>
        <w:t>Membre suppléant de la commission de spécialiste de droit privé de la faculté de Perpignan (2006-2009)</w:t>
      </w:r>
    </w:p>
    <w:p w:rsidR="00572DB0" w:rsidRDefault="00572DB0" w:rsidP="00572DB0">
      <w:pPr>
        <w:widowControl w:val="0"/>
        <w:jc w:val="both"/>
        <w:rPr>
          <w:szCs w:val="20"/>
        </w:rPr>
      </w:pPr>
      <w:r>
        <w:t>Membre de la commission de l’école doctorale des Universités Montpellier I, Perpignan, Toulon (2008-2011).</w:t>
      </w:r>
    </w:p>
    <w:p w:rsidR="00572DB0" w:rsidRDefault="00572DB0" w:rsidP="00572DB0">
      <w:pPr>
        <w:pStyle w:val="Pieddepage"/>
        <w:tabs>
          <w:tab w:val="clear" w:pos="4536"/>
          <w:tab w:val="clear" w:pos="9072"/>
        </w:tabs>
      </w:pPr>
    </w:p>
    <w:p w:rsidR="000E74EB" w:rsidRDefault="00EB412F"/>
    <w:sectPr w:rsidR="000E74EB">
      <w:footerReference w:type="even"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789" w:rsidRDefault="00A471FC">
      <w:pPr>
        <w:spacing w:after="0" w:line="240" w:lineRule="auto"/>
      </w:pPr>
      <w:r>
        <w:separator/>
      </w:r>
    </w:p>
  </w:endnote>
  <w:endnote w:type="continuationSeparator" w:id="0">
    <w:p w:rsidR="00573789" w:rsidRDefault="00A47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B78" w:rsidRDefault="00572DB0" w:rsidP="00831B7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831B78" w:rsidRDefault="00EB412F" w:rsidP="00831B78">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B78" w:rsidRDefault="00572DB0" w:rsidP="00831B7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B412F">
      <w:rPr>
        <w:rStyle w:val="Numrodepage"/>
        <w:noProof/>
      </w:rPr>
      <w:t>1</w:t>
    </w:r>
    <w:r>
      <w:rPr>
        <w:rStyle w:val="Numrodepage"/>
      </w:rPr>
      <w:fldChar w:fldCharType="end"/>
    </w:r>
  </w:p>
  <w:p w:rsidR="00831B78" w:rsidRDefault="00EB412F" w:rsidP="00831B78">
    <w:pPr>
      <w:pStyle w:val="Pieddepag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789" w:rsidRDefault="00A471FC">
      <w:pPr>
        <w:spacing w:after="0" w:line="240" w:lineRule="auto"/>
      </w:pPr>
      <w:r>
        <w:separator/>
      </w:r>
    </w:p>
  </w:footnote>
  <w:footnote w:type="continuationSeparator" w:id="0">
    <w:p w:rsidR="00573789" w:rsidRDefault="00A471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DB0"/>
    <w:rsid w:val="00572DB0"/>
    <w:rsid w:val="00573789"/>
    <w:rsid w:val="00A471FC"/>
    <w:rsid w:val="00EB412F"/>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9C7AA"/>
  <w15:docId w15:val="{AB017DC1-E20C-4BF7-B455-C1CDD216E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DB0"/>
    <w:pPr>
      <w:spacing w:line="276" w:lineRule="auto"/>
    </w:pPr>
    <w:rPr>
      <w:rFonts w:eastAsiaTheme="minorEastAsia"/>
      <w:sz w:val="22"/>
      <w:szCs w:val="22"/>
      <w:lang w:eastAsia="fr-FR"/>
    </w:rPr>
  </w:style>
  <w:style w:type="paragraph" w:styleId="Titre1">
    <w:name w:val="heading 1"/>
    <w:basedOn w:val="Normal"/>
    <w:next w:val="Normal"/>
    <w:link w:val="Titre1Car"/>
    <w:qFormat/>
    <w:rsid w:val="00572DB0"/>
    <w:pPr>
      <w:pBdr>
        <w:bottom w:val="thinThickSmallGap" w:sz="12" w:space="1" w:color="943634"/>
      </w:pBdr>
      <w:spacing w:before="400" w:line="252" w:lineRule="auto"/>
      <w:jc w:val="center"/>
      <w:outlineLvl w:val="0"/>
    </w:pPr>
    <w:rPr>
      <w:rFonts w:ascii="Cambria" w:eastAsia="Calibri" w:hAnsi="Cambria" w:cs="Times New Roman"/>
      <w:caps/>
      <w:color w:val="632423"/>
      <w:spacing w:val="20"/>
      <w:sz w:val="28"/>
      <w:szCs w:val="28"/>
      <w:lang w:val="en-US" w:eastAsia="en-US" w:bidi="en-US"/>
    </w:rPr>
  </w:style>
  <w:style w:type="paragraph" w:styleId="Titre2">
    <w:name w:val="heading 2"/>
    <w:basedOn w:val="Normal"/>
    <w:next w:val="Normal"/>
    <w:link w:val="Titre2Car"/>
    <w:qFormat/>
    <w:rsid w:val="00572DB0"/>
    <w:pPr>
      <w:pBdr>
        <w:bottom w:val="single" w:sz="4" w:space="1" w:color="622423"/>
      </w:pBdr>
      <w:spacing w:before="400" w:line="252" w:lineRule="auto"/>
      <w:jc w:val="center"/>
      <w:outlineLvl w:val="1"/>
    </w:pPr>
    <w:rPr>
      <w:rFonts w:ascii="Cambria" w:eastAsia="Calibri" w:hAnsi="Cambria" w:cs="Times New Roman"/>
      <w:caps/>
      <w:color w:val="632423"/>
      <w:spacing w:val="15"/>
      <w:sz w:val="24"/>
      <w:szCs w:val="24"/>
      <w:lang w:val="en-US" w:eastAsia="en-US" w:bidi="en-US"/>
    </w:rPr>
  </w:style>
  <w:style w:type="paragraph" w:styleId="Titre3">
    <w:name w:val="heading 3"/>
    <w:basedOn w:val="Normal"/>
    <w:next w:val="Normal"/>
    <w:link w:val="Titre3Car"/>
    <w:qFormat/>
    <w:rsid w:val="00572DB0"/>
    <w:pPr>
      <w:pBdr>
        <w:top w:val="dotted" w:sz="4" w:space="1" w:color="622423"/>
        <w:bottom w:val="dotted" w:sz="4" w:space="1" w:color="622423"/>
      </w:pBdr>
      <w:spacing w:before="300" w:line="252" w:lineRule="auto"/>
      <w:jc w:val="center"/>
      <w:outlineLvl w:val="2"/>
    </w:pPr>
    <w:rPr>
      <w:rFonts w:ascii="Cambria" w:eastAsia="Calibri" w:hAnsi="Cambria" w:cs="Times New Roman"/>
      <w:caps/>
      <w:color w:val="622423"/>
      <w:sz w:val="24"/>
      <w:szCs w:val="24"/>
      <w:lang w:val="en-US" w:eastAsia="en-US" w:bidi="en-US"/>
    </w:rPr>
  </w:style>
  <w:style w:type="paragraph" w:styleId="Titre4">
    <w:name w:val="heading 4"/>
    <w:basedOn w:val="Normal"/>
    <w:next w:val="Normal"/>
    <w:link w:val="Titre4Car"/>
    <w:qFormat/>
    <w:rsid w:val="00572DB0"/>
    <w:pPr>
      <w:pBdr>
        <w:bottom w:val="dotted" w:sz="4" w:space="1" w:color="943634"/>
      </w:pBdr>
      <w:spacing w:after="120" w:line="252" w:lineRule="auto"/>
      <w:jc w:val="center"/>
      <w:outlineLvl w:val="3"/>
    </w:pPr>
    <w:rPr>
      <w:rFonts w:ascii="Cambria" w:eastAsia="Calibri" w:hAnsi="Cambria" w:cs="Times New Roman"/>
      <w:caps/>
      <w:color w:val="622423"/>
      <w:spacing w:val="10"/>
      <w:lang w:val="en-US" w:eastAsia="en-US" w:bidi="en-US"/>
    </w:rPr>
  </w:style>
  <w:style w:type="paragraph" w:styleId="Titre5">
    <w:name w:val="heading 5"/>
    <w:basedOn w:val="Normal"/>
    <w:next w:val="Normal"/>
    <w:link w:val="Titre5Car"/>
    <w:qFormat/>
    <w:rsid w:val="00572DB0"/>
    <w:pPr>
      <w:spacing w:before="320" w:after="120" w:line="252" w:lineRule="auto"/>
      <w:jc w:val="center"/>
      <w:outlineLvl w:val="4"/>
    </w:pPr>
    <w:rPr>
      <w:rFonts w:ascii="Cambria" w:eastAsia="Calibri" w:hAnsi="Cambria" w:cs="Times New Roman"/>
      <w:caps/>
      <w:color w:val="622423"/>
      <w:spacing w:val="10"/>
      <w:lang w:val="en-US" w:eastAsia="en-US" w:bidi="en-US"/>
    </w:rPr>
  </w:style>
  <w:style w:type="paragraph" w:styleId="Titre6">
    <w:name w:val="heading 6"/>
    <w:basedOn w:val="Normal"/>
    <w:next w:val="Normal"/>
    <w:link w:val="Titre6Car"/>
    <w:qFormat/>
    <w:rsid w:val="00572DB0"/>
    <w:pPr>
      <w:spacing w:after="120" w:line="252" w:lineRule="auto"/>
      <w:jc w:val="center"/>
      <w:outlineLvl w:val="5"/>
    </w:pPr>
    <w:rPr>
      <w:rFonts w:ascii="Cambria" w:eastAsia="Calibri" w:hAnsi="Cambria" w:cs="Times New Roman"/>
      <w:caps/>
      <w:color w:val="943634"/>
      <w:spacing w:val="10"/>
      <w:lang w:val="en-US" w:eastAsia="en-US" w:bidi="en-US"/>
    </w:rPr>
  </w:style>
  <w:style w:type="paragraph" w:styleId="Titre7">
    <w:name w:val="heading 7"/>
    <w:basedOn w:val="Normal"/>
    <w:next w:val="Normal"/>
    <w:link w:val="Titre7Car"/>
    <w:qFormat/>
    <w:rsid w:val="00572DB0"/>
    <w:pPr>
      <w:spacing w:after="120" w:line="252" w:lineRule="auto"/>
      <w:jc w:val="center"/>
      <w:outlineLvl w:val="6"/>
    </w:pPr>
    <w:rPr>
      <w:rFonts w:ascii="Cambria" w:eastAsia="Calibri" w:hAnsi="Cambria" w:cs="Times New Roman"/>
      <w:i/>
      <w:iCs/>
      <w:caps/>
      <w:color w:val="943634"/>
      <w:spacing w:val="10"/>
      <w:lang w:val="en-US" w:eastAsia="en-US" w:bidi="en-US"/>
    </w:rPr>
  </w:style>
  <w:style w:type="paragraph" w:styleId="Titre8">
    <w:name w:val="heading 8"/>
    <w:basedOn w:val="Normal"/>
    <w:next w:val="Normal"/>
    <w:link w:val="Titre8Car"/>
    <w:qFormat/>
    <w:rsid w:val="00572DB0"/>
    <w:pPr>
      <w:spacing w:after="120" w:line="252" w:lineRule="auto"/>
      <w:jc w:val="center"/>
      <w:outlineLvl w:val="7"/>
    </w:pPr>
    <w:rPr>
      <w:rFonts w:ascii="Cambria" w:eastAsia="Calibri" w:hAnsi="Cambria" w:cs="Times New Roman"/>
      <w:caps/>
      <w:spacing w:val="10"/>
      <w:sz w:val="20"/>
      <w:szCs w:val="20"/>
      <w:lang w:val="en-US" w:eastAsia="en-US" w:bidi="en-US"/>
    </w:rPr>
  </w:style>
  <w:style w:type="paragraph" w:styleId="Titre9">
    <w:name w:val="heading 9"/>
    <w:basedOn w:val="Normal"/>
    <w:next w:val="Normal"/>
    <w:link w:val="Titre9Car"/>
    <w:qFormat/>
    <w:rsid w:val="00572DB0"/>
    <w:pPr>
      <w:spacing w:after="120" w:line="252" w:lineRule="auto"/>
      <w:jc w:val="center"/>
      <w:outlineLvl w:val="8"/>
    </w:pPr>
    <w:rPr>
      <w:rFonts w:ascii="Cambria" w:eastAsia="Calibri" w:hAnsi="Cambria" w:cs="Times New Roman"/>
      <w:i/>
      <w:iCs/>
      <w:caps/>
      <w:spacing w:val="10"/>
      <w:sz w:val="20"/>
      <w:szCs w:val="20"/>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72DB0"/>
    <w:rPr>
      <w:rFonts w:ascii="Cambria" w:eastAsia="Calibri" w:hAnsi="Cambria" w:cs="Times New Roman"/>
      <w:caps/>
      <w:color w:val="632423"/>
      <w:spacing w:val="20"/>
      <w:sz w:val="28"/>
      <w:szCs w:val="28"/>
      <w:lang w:val="en-US" w:bidi="en-US"/>
    </w:rPr>
  </w:style>
  <w:style w:type="character" w:customStyle="1" w:styleId="Titre2Car">
    <w:name w:val="Titre 2 Car"/>
    <w:basedOn w:val="Policepardfaut"/>
    <w:link w:val="Titre2"/>
    <w:rsid w:val="00572DB0"/>
    <w:rPr>
      <w:rFonts w:ascii="Cambria" w:eastAsia="Calibri" w:hAnsi="Cambria" w:cs="Times New Roman"/>
      <w:caps/>
      <w:color w:val="632423"/>
      <w:spacing w:val="15"/>
      <w:lang w:val="en-US" w:bidi="en-US"/>
    </w:rPr>
  </w:style>
  <w:style w:type="character" w:customStyle="1" w:styleId="Titre3Car">
    <w:name w:val="Titre 3 Car"/>
    <w:basedOn w:val="Policepardfaut"/>
    <w:link w:val="Titre3"/>
    <w:rsid w:val="00572DB0"/>
    <w:rPr>
      <w:rFonts w:ascii="Cambria" w:eastAsia="Calibri" w:hAnsi="Cambria" w:cs="Times New Roman"/>
      <w:caps/>
      <w:color w:val="622423"/>
      <w:lang w:val="en-US" w:bidi="en-US"/>
    </w:rPr>
  </w:style>
  <w:style w:type="character" w:customStyle="1" w:styleId="Titre4Car">
    <w:name w:val="Titre 4 Car"/>
    <w:basedOn w:val="Policepardfaut"/>
    <w:link w:val="Titre4"/>
    <w:rsid w:val="00572DB0"/>
    <w:rPr>
      <w:rFonts w:ascii="Cambria" w:eastAsia="Calibri" w:hAnsi="Cambria" w:cs="Times New Roman"/>
      <w:caps/>
      <w:color w:val="622423"/>
      <w:spacing w:val="10"/>
      <w:sz w:val="22"/>
      <w:szCs w:val="22"/>
      <w:lang w:val="en-US" w:bidi="en-US"/>
    </w:rPr>
  </w:style>
  <w:style w:type="character" w:customStyle="1" w:styleId="Titre5Car">
    <w:name w:val="Titre 5 Car"/>
    <w:basedOn w:val="Policepardfaut"/>
    <w:link w:val="Titre5"/>
    <w:rsid w:val="00572DB0"/>
    <w:rPr>
      <w:rFonts w:ascii="Cambria" w:eastAsia="Calibri" w:hAnsi="Cambria" w:cs="Times New Roman"/>
      <w:caps/>
      <w:color w:val="622423"/>
      <w:spacing w:val="10"/>
      <w:sz w:val="22"/>
      <w:szCs w:val="22"/>
      <w:lang w:val="en-US" w:bidi="en-US"/>
    </w:rPr>
  </w:style>
  <w:style w:type="character" w:customStyle="1" w:styleId="Titre6Car">
    <w:name w:val="Titre 6 Car"/>
    <w:basedOn w:val="Policepardfaut"/>
    <w:link w:val="Titre6"/>
    <w:rsid w:val="00572DB0"/>
    <w:rPr>
      <w:rFonts w:ascii="Cambria" w:eastAsia="Calibri" w:hAnsi="Cambria" w:cs="Times New Roman"/>
      <w:caps/>
      <w:color w:val="943634"/>
      <w:spacing w:val="10"/>
      <w:sz w:val="22"/>
      <w:szCs w:val="22"/>
      <w:lang w:val="en-US" w:bidi="en-US"/>
    </w:rPr>
  </w:style>
  <w:style w:type="character" w:customStyle="1" w:styleId="Titre7Car">
    <w:name w:val="Titre 7 Car"/>
    <w:basedOn w:val="Policepardfaut"/>
    <w:link w:val="Titre7"/>
    <w:rsid w:val="00572DB0"/>
    <w:rPr>
      <w:rFonts w:ascii="Cambria" w:eastAsia="Calibri" w:hAnsi="Cambria" w:cs="Times New Roman"/>
      <w:i/>
      <w:iCs/>
      <w:caps/>
      <w:color w:val="943634"/>
      <w:spacing w:val="10"/>
      <w:sz w:val="22"/>
      <w:szCs w:val="22"/>
      <w:lang w:val="en-US" w:bidi="en-US"/>
    </w:rPr>
  </w:style>
  <w:style w:type="character" w:customStyle="1" w:styleId="Titre8Car">
    <w:name w:val="Titre 8 Car"/>
    <w:basedOn w:val="Policepardfaut"/>
    <w:link w:val="Titre8"/>
    <w:rsid w:val="00572DB0"/>
    <w:rPr>
      <w:rFonts w:ascii="Cambria" w:eastAsia="Calibri" w:hAnsi="Cambria" w:cs="Times New Roman"/>
      <w:caps/>
      <w:spacing w:val="10"/>
      <w:sz w:val="20"/>
      <w:szCs w:val="20"/>
      <w:lang w:val="en-US" w:bidi="en-US"/>
    </w:rPr>
  </w:style>
  <w:style w:type="character" w:customStyle="1" w:styleId="Titre9Car">
    <w:name w:val="Titre 9 Car"/>
    <w:basedOn w:val="Policepardfaut"/>
    <w:link w:val="Titre9"/>
    <w:rsid w:val="00572DB0"/>
    <w:rPr>
      <w:rFonts w:ascii="Cambria" w:eastAsia="Calibri" w:hAnsi="Cambria" w:cs="Times New Roman"/>
      <w:i/>
      <w:iCs/>
      <w:caps/>
      <w:spacing w:val="10"/>
      <w:sz w:val="20"/>
      <w:szCs w:val="20"/>
      <w:lang w:val="en-US" w:bidi="en-US"/>
    </w:rPr>
  </w:style>
  <w:style w:type="paragraph" w:styleId="Lgende">
    <w:name w:val="caption"/>
    <w:basedOn w:val="Normal"/>
    <w:next w:val="Normal"/>
    <w:qFormat/>
    <w:rsid w:val="00572DB0"/>
    <w:pPr>
      <w:spacing w:line="252" w:lineRule="auto"/>
    </w:pPr>
    <w:rPr>
      <w:rFonts w:ascii="Cambria" w:eastAsia="Calibri" w:hAnsi="Cambria" w:cs="Times New Roman"/>
      <w:caps/>
      <w:spacing w:val="10"/>
      <w:sz w:val="18"/>
      <w:szCs w:val="18"/>
      <w:lang w:val="en-US" w:eastAsia="en-US" w:bidi="en-US"/>
    </w:rPr>
  </w:style>
  <w:style w:type="paragraph" w:styleId="Titre">
    <w:name w:val="Title"/>
    <w:basedOn w:val="Normal"/>
    <w:next w:val="Normal"/>
    <w:link w:val="TitreCar"/>
    <w:qFormat/>
    <w:rsid w:val="00572DB0"/>
    <w:pPr>
      <w:pBdr>
        <w:top w:val="dotted" w:sz="2" w:space="1" w:color="632423"/>
        <w:bottom w:val="dotted" w:sz="2" w:space="6" w:color="632423"/>
      </w:pBdr>
      <w:spacing w:before="500" w:after="300" w:line="240" w:lineRule="auto"/>
      <w:jc w:val="center"/>
    </w:pPr>
    <w:rPr>
      <w:rFonts w:ascii="Cambria" w:eastAsia="Calibri" w:hAnsi="Cambria" w:cs="Times New Roman"/>
      <w:caps/>
      <w:color w:val="632423"/>
      <w:spacing w:val="50"/>
      <w:sz w:val="44"/>
      <w:szCs w:val="44"/>
      <w:lang w:val="en-US" w:eastAsia="en-US" w:bidi="en-US"/>
    </w:rPr>
  </w:style>
  <w:style w:type="character" w:customStyle="1" w:styleId="TitreCar">
    <w:name w:val="Titre Car"/>
    <w:basedOn w:val="Policepardfaut"/>
    <w:link w:val="Titre"/>
    <w:rsid w:val="00572DB0"/>
    <w:rPr>
      <w:rFonts w:ascii="Cambria" w:eastAsia="Calibri" w:hAnsi="Cambria" w:cs="Times New Roman"/>
      <w:caps/>
      <w:color w:val="632423"/>
      <w:spacing w:val="50"/>
      <w:sz w:val="44"/>
      <w:szCs w:val="44"/>
      <w:lang w:val="en-US" w:bidi="en-US"/>
    </w:rPr>
  </w:style>
  <w:style w:type="paragraph" w:styleId="Sous-titre">
    <w:name w:val="Subtitle"/>
    <w:basedOn w:val="Normal"/>
    <w:next w:val="Normal"/>
    <w:link w:val="Sous-titreCar"/>
    <w:qFormat/>
    <w:rsid w:val="00572DB0"/>
    <w:pPr>
      <w:spacing w:after="560" w:line="240" w:lineRule="auto"/>
      <w:jc w:val="center"/>
    </w:pPr>
    <w:rPr>
      <w:rFonts w:ascii="Cambria" w:eastAsia="Calibri" w:hAnsi="Cambria" w:cs="Times New Roman"/>
      <w:caps/>
      <w:spacing w:val="20"/>
      <w:sz w:val="18"/>
      <w:szCs w:val="18"/>
      <w:lang w:val="en-US" w:eastAsia="en-US" w:bidi="en-US"/>
    </w:rPr>
  </w:style>
  <w:style w:type="character" w:customStyle="1" w:styleId="Sous-titreCar">
    <w:name w:val="Sous-titre Car"/>
    <w:basedOn w:val="Policepardfaut"/>
    <w:link w:val="Sous-titre"/>
    <w:rsid w:val="00572DB0"/>
    <w:rPr>
      <w:rFonts w:ascii="Cambria" w:eastAsia="Calibri" w:hAnsi="Cambria" w:cs="Times New Roman"/>
      <w:caps/>
      <w:spacing w:val="20"/>
      <w:sz w:val="18"/>
      <w:szCs w:val="18"/>
      <w:lang w:val="en-US" w:bidi="en-US"/>
    </w:rPr>
  </w:style>
  <w:style w:type="character" w:styleId="lev">
    <w:name w:val="Strong"/>
    <w:qFormat/>
    <w:rsid w:val="00572DB0"/>
    <w:rPr>
      <w:b/>
      <w:bCs/>
      <w:color w:val="943634"/>
      <w:spacing w:val="5"/>
    </w:rPr>
  </w:style>
  <w:style w:type="character" w:styleId="Accentuation">
    <w:name w:val="Emphasis"/>
    <w:qFormat/>
    <w:rsid w:val="00572DB0"/>
    <w:rPr>
      <w:caps/>
      <w:spacing w:val="5"/>
      <w:sz w:val="20"/>
      <w:szCs w:val="20"/>
    </w:rPr>
  </w:style>
  <w:style w:type="paragraph" w:styleId="Sansinterligne">
    <w:name w:val="No Spacing"/>
    <w:basedOn w:val="Normal"/>
    <w:qFormat/>
    <w:rsid w:val="00572DB0"/>
    <w:pPr>
      <w:spacing w:after="0" w:line="240" w:lineRule="auto"/>
    </w:pPr>
    <w:rPr>
      <w:rFonts w:ascii="Cambria" w:eastAsia="Calibri" w:hAnsi="Cambria" w:cs="Times New Roman"/>
      <w:lang w:val="en-US" w:eastAsia="en-US" w:bidi="en-US"/>
    </w:rPr>
  </w:style>
  <w:style w:type="character" w:customStyle="1" w:styleId="SansinterligneCar">
    <w:name w:val="Sans interligne Car"/>
    <w:basedOn w:val="Policepardfaut"/>
    <w:rsid w:val="00572DB0"/>
  </w:style>
  <w:style w:type="paragraph" w:styleId="Paragraphedeliste">
    <w:name w:val="List Paragraph"/>
    <w:basedOn w:val="Normal"/>
    <w:qFormat/>
    <w:rsid w:val="00572DB0"/>
    <w:pPr>
      <w:spacing w:line="252" w:lineRule="auto"/>
      <w:ind w:left="720"/>
      <w:contextualSpacing/>
    </w:pPr>
    <w:rPr>
      <w:rFonts w:ascii="Cambria" w:eastAsia="Calibri" w:hAnsi="Cambria" w:cs="Times New Roman"/>
      <w:lang w:val="en-US" w:eastAsia="en-US" w:bidi="en-US"/>
    </w:rPr>
  </w:style>
  <w:style w:type="paragraph" w:styleId="Citation">
    <w:name w:val="Quote"/>
    <w:basedOn w:val="Normal"/>
    <w:next w:val="Normal"/>
    <w:link w:val="CitationCar"/>
    <w:qFormat/>
    <w:rsid w:val="00572DB0"/>
    <w:pPr>
      <w:spacing w:line="252" w:lineRule="auto"/>
    </w:pPr>
    <w:rPr>
      <w:rFonts w:ascii="Cambria" w:eastAsia="Calibri" w:hAnsi="Cambria" w:cs="Times New Roman"/>
      <w:i/>
      <w:iCs/>
      <w:lang w:val="en-US" w:eastAsia="en-US" w:bidi="en-US"/>
    </w:rPr>
  </w:style>
  <w:style w:type="character" w:customStyle="1" w:styleId="CitationCar">
    <w:name w:val="Citation Car"/>
    <w:basedOn w:val="Policepardfaut"/>
    <w:link w:val="Citation"/>
    <w:rsid w:val="00572DB0"/>
    <w:rPr>
      <w:rFonts w:ascii="Cambria" w:eastAsia="Calibri" w:hAnsi="Cambria" w:cs="Times New Roman"/>
      <w:i/>
      <w:iCs/>
      <w:sz w:val="22"/>
      <w:szCs w:val="22"/>
      <w:lang w:val="en-US" w:bidi="en-US"/>
    </w:rPr>
  </w:style>
  <w:style w:type="paragraph" w:styleId="Citationintense">
    <w:name w:val="Intense Quote"/>
    <w:basedOn w:val="Normal"/>
    <w:next w:val="Normal"/>
    <w:link w:val="CitationintenseCar"/>
    <w:qFormat/>
    <w:rsid w:val="00572DB0"/>
    <w:pPr>
      <w:pBdr>
        <w:top w:val="dotted" w:sz="2" w:space="10" w:color="632423"/>
        <w:bottom w:val="dotted" w:sz="2" w:space="4" w:color="632423"/>
      </w:pBdr>
      <w:spacing w:before="160" w:line="300" w:lineRule="auto"/>
      <w:ind w:left="1440" w:right="1440"/>
    </w:pPr>
    <w:rPr>
      <w:rFonts w:ascii="Cambria" w:eastAsia="Calibri" w:hAnsi="Cambria" w:cs="Times New Roman"/>
      <w:caps/>
      <w:color w:val="622423"/>
      <w:spacing w:val="5"/>
      <w:sz w:val="20"/>
      <w:szCs w:val="20"/>
      <w:lang w:val="en-US" w:eastAsia="en-US" w:bidi="en-US"/>
    </w:rPr>
  </w:style>
  <w:style w:type="character" w:customStyle="1" w:styleId="CitationintenseCar">
    <w:name w:val="Citation intense Car"/>
    <w:basedOn w:val="Policepardfaut"/>
    <w:link w:val="Citationintense"/>
    <w:rsid w:val="00572DB0"/>
    <w:rPr>
      <w:rFonts w:ascii="Cambria" w:eastAsia="Calibri" w:hAnsi="Cambria" w:cs="Times New Roman"/>
      <w:caps/>
      <w:color w:val="622423"/>
      <w:spacing w:val="5"/>
      <w:sz w:val="20"/>
      <w:szCs w:val="20"/>
      <w:lang w:val="en-US" w:bidi="en-US"/>
    </w:rPr>
  </w:style>
  <w:style w:type="character" w:styleId="Emphaseple">
    <w:name w:val="Subtle Emphasis"/>
    <w:qFormat/>
    <w:rsid w:val="00572DB0"/>
    <w:rPr>
      <w:i/>
      <w:iCs/>
    </w:rPr>
  </w:style>
  <w:style w:type="character" w:styleId="Emphaseintense">
    <w:name w:val="Intense Emphasis"/>
    <w:qFormat/>
    <w:rsid w:val="00572DB0"/>
    <w:rPr>
      <w:i/>
      <w:iCs/>
      <w:caps/>
      <w:spacing w:val="10"/>
      <w:sz w:val="20"/>
      <w:szCs w:val="20"/>
    </w:rPr>
  </w:style>
  <w:style w:type="character" w:styleId="Rfrenceple">
    <w:name w:val="Subtle Reference"/>
    <w:basedOn w:val="Policepardfaut"/>
    <w:qFormat/>
    <w:rsid w:val="00572DB0"/>
    <w:rPr>
      <w:rFonts w:ascii="Calibri" w:eastAsia="Times New Roman" w:hAnsi="Calibri" w:cs="Times New Roman"/>
      <w:i/>
      <w:iCs/>
      <w:color w:val="622423"/>
    </w:rPr>
  </w:style>
  <w:style w:type="character" w:styleId="Rfrenceintense">
    <w:name w:val="Intense Reference"/>
    <w:qFormat/>
    <w:rsid w:val="00572DB0"/>
    <w:rPr>
      <w:rFonts w:ascii="Calibri" w:eastAsia="Times New Roman" w:hAnsi="Calibri" w:cs="Times New Roman"/>
      <w:b/>
      <w:bCs/>
      <w:i/>
      <w:iCs/>
      <w:color w:val="622423"/>
    </w:rPr>
  </w:style>
  <w:style w:type="character" w:styleId="Titredulivre">
    <w:name w:val="Book Title"/>
    <w:qFormat/>
    <w:rsid w:val="00572DB0"/>
    <w:rPr>
      <w:caps/>
      <w:color w:val="622423"/>
      <w:spacing w:val="5"/>
      <w:u w:color="622423"/>
    </w:rPr>
  </w:style>
  <w:style w:type="paragraph" w:styleId="En-ttedetabledesmatires">
    <w:name w:val="TOC Heading"/>
    <w:basedOn w:val="Titre1"/>
    <w:next w:val="Normal"/>
    <w:qFormat/>
    <w:rsid w:val="00572DB0"/>
    <w:pPr>
      <w:outlineLvl w:val="9"/>
    </w:pPr>
  </w:style>
  <w:style w:type="paragraph" w:styleId="Pieddepage">
    <w:name w:val="footer"/>
    <w:basedOn w:val="Normal"/>
    <w:link w:val="PieddepageCar"/>
    <w:semiHidden/>
    <w:rsid w:val="00572DB0"/>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PieddepageCar">
    <w:name w:val="Pied de page Car"/>
    <w:basedOn w:val="Policepardfaut"/>
    <w:link w:val="Pieddepage"/>
    <w:semiHidden/>
    <w:rsid w:val="00572DB0"/>
    <w:rPr>
      <w:rFonts w:ascii="Times New Roman" w:eastAsia="Times New Roman" w:hAnsi="Times New Roman" w:cs="Times New Roman"/>
      <w:lang w:eastAsia="fr-FR"/>
    </w:rPr>
  </w:style>
  <w:style w:type="paragraph" w:styleId="Retraitcorpsdetexte">
    <w:name w:val="Body Text Indent"/>
    <w:basedOn w:val="Normal"/>
    <w:link w:val="RetraitcorpsdetexteCar"/>
    <w:semiHidden/>
    <w:rsid w:val="00572DB0"/>
    <w:pPr>
      <w:widowControl w:val="0"/>
      <w:spacing w:after="0" w:line="360" w:lineRule="atLeast"/>
      <w:ind w:left="720"/>
      <w:jc w:val="both"/>
    </w:pPr>
    <w:rPr>
      <w:rFonts w:ascii="Times New Roman" w:eastAsia="Times New Roman" w:hAnsi="Times New Roman" w:cs="Times New Roman"/>
      <w:sz w:val="20"/>
      <w:szCs w:val="20"/>
    </w:rPr>
  </w:style>
  <w:style w:type="character" w:customStyle="1" w:styleId="RetraitcorpsdetexteCar">
    <w:name w:val="Retrait corps de texte Car"/>
    <w:basedOn w:val="Policepardfaut"/>
    <w:link w:val="Retraitcorpsdetexte"/>
    <w:semiHidden/>
    <w:rsid w:val="00572DB0"/>
    <w:rPr>
      <w:rFonts w:ascii="Times New Roman" w:eastAsia="Times New Roman" w:hAnsi="Times New Roman" w:cs="Times New Roman"/>
      <w:sz w:val="20"/>
      <w:szCs w:val="20"/>
      <w:lang w:eastAsia="fr-FR"/>
    </w:rPr>
  </w:style>
  <w:style w:type="paragraph" w:styleId="Retraitcorpsdetexte2">
    <w:name w:val="Body Text Indent 2"/>
    <w:basedOn w:val="Normal"/>
    <w:link w:val="Retraitcorpsdetexte2Car"/>
    <w:semiHidden/>
    <w:rsid w:val="00572DB0"/>
    <w:pPr>
      <w:widowControl w:val="0"/>
      <w:spacing w:after="0" w:line="240" w:lineRule="auto"/>
      <w:ind w:left="720"/>
      <w:jc w:val="both"/>
    </w:pPr>
    <w:rPr>
      <w:rFonts w:ascii="Times New Roman" w:eastAsia="Times New Roman" w:hAnsi="Times New Roman" w:cs="Times New Roman"/>
      <w:sz w:val="24"/>
      <w:szCs w:val="24"/>
    </w:rPr>
  </w:style>
  <w:style w:type="character" w:customStyle="1" w:styleId="Retraitcorpsdetexte2Car">
    <w:name w:val="Retrait corps de texte 2 Car"/>
    <w:basedOn w:val="Policepardfaut"/>
    <w:link w:val="Retraitcorpsdetexte2"/>
    <w:semiHidden/>
    <w:rsid w:val="00572DB0"/>
    <w:rPr>
      <w:rFonts w:ascii="Times New Roman" w:eastAsia="Times New Roman" w:hAnsi="Times New Roman" w:cs="Times New Roman"/>
      <w:lang w:eastAsia="fr-FR"/>
    </w:rPr>
  </w:style>
  <w:style w:type="paragraph" w:styleId="Retraitcorpsdetexte3">
    <w:name w:val="Body Text Indent 3"/>
    <w:basedOn w:val="Normal"/>
    <w:link w:val="Retraitcorpsdetexte3Car"/>
    <w:semiHidden/>
    <w:rsid w:val="00572DB0"/>
    <w:pPr>
      <w:widowControl w:val="0"/>
      <w:spacing w:after="0" w:line="360" w:lineRule="atLeast"/>
      <w:ind w:left="709" w:firstLine="731"/>
      <w:jc w:val="both"/>
    </w:pPr>
    <w:rPr>
      <w:rFonts w:ascii="Times New Roman" w:eastAsia="Times New Roman" w:hAnsi="Times New Roman" w:cs="Times New Roman"/>
      <w:sz w:val="20"/>
      <w:szCs w:val="20"/>
    </w:rPr>
  </w:style>
  <w:style w:type="character" w:customStyle="1" w:styleId="Retraitcorpsdetexte3Car">
    <w:name w:val="Retrait corps de texte 3 Car"/>
    <w:basedOn w:val="Policepardfaut"/>
    <w:link w:val="Retraitcorpsdetexte3"/>
    <w:semiHidden/>
    <w:rsid w:val="00572DB0"/>
    <w:rPr>
      <w:rFonts w:ascii="Times New Roman" w:eastAsia="Times New Roman" w:hAnsi="Times New Roman" w:cs="Times New Roman"/>
      <w:sz w:val="20"/>
      <w:szCs w:val="20"/>
      <w:lang w:eastAsia="fr-FR"/>
    </w:rPr>
  </w:style>
  <w:style w:type="paragraph" w:styleId="Corpsdetexte2">
    <w:name w:val="Body Text 2"/>
    <w:basedOn w:val="Normal"/>
    <w:link w:val="Corpsdetexte2Car"/>
    <w:semiHidden/>
    <w:rsid w:val="00572DB0"/>
    <w:pPr>
      <w:spacing w:after="0" w:line="240" w:lineRule="auto"/>
      <w:jc w:val="both"/>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semiHidden/>
    <w:rsid w:val="00572DB0"/>
    <w:rPr>
      <w:rFonts w:ascii="Times New Roman" w:eastAsia="Times New Roman" w:hAnsi="Times New Roman" w:cs="Times New Roman"/>
      <w:lang w:eastAsia="fr-FR"/>
    </w:rPr>
  </w:style>
  <w:style w:type="paragraph" w:styleId="Textedebulles">
    <w:name w:val="Balloon Text"/>
    <w:basedOn w:val="Normal"/>
    <w:link w:val="TextedebullesCar"/>
    <w:semiHidden/>
    <w:unhideWhenUsed/>
    <w:rsid w:val="00572DB0"/>
    <w:pPr>
      <w:spacing w:after="0" w:line="240" w:lineRule="auto"/>
    </w:pPr>
    <w:rPr>
      <w:rFonts w:ascii="Tahoma" w:eastAsia="Times New Roman" w:hAnsi="Tahoma" w:cs="Tahoma"/>
      <w:sz w:val="16"/>
      <w:szCs w:val="16"/>
    </w:rPr>
  </w:style>
  <w:style w:type="character" w:customStyle="1" w:styleId="TextedebullesCar">
    <w:name w:val="Texte de bulles Car"/>
    <w:basedOn w:val="Policepardfaut"/>
    <w:link w:val="Textedebulles"/>
    <w:semiHidden/>
    <w:rsid w:val="00572DB0"/>
    <w:rPr>
      <w:rFonts w:ascii="Tahoma" w:eastAsia="Times New Roman" w:hAnsi="Tahoma" w:cs="Tahoma"/>
      <w:sz w:val="16"/>
      <w:szCs w:val="16"/>
      <w:lang w:eastAsia="fr-FR"/>
    </w:rPr>
  </w:style>
  <w:style w:type="character" w:styleId="Numrodepage">
    <w:name w:val="page number"/>
    <w:basedOn w:val="Policepardfaut"/>
    <w:uiPriority w:val="99"/>
    <w:semiHidden/>
    <w:unhideWhenUsed/>
    <w:rsid w:val="00572D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1819</Words>
  <Characters>10006</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TERRIER</dc:creator>
  <cp:lastModifiedBy>Christophe</cp:lastModifiedBy>
  <cp:revision>3</cp:revision>
  <dcterms:created xsi:type="dcterms:W3CDTF">2014-12-23T20:33:00Z</dcterms:created>
  <dcterms:modified xsi:type="dcterms:W3CDTF">2018-06-06T12:15:00Z</dcterms:modified>
</cp:coreProperties>
</file>